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0F" w:rsidRPr="006D73EF" w:rsidRDefault="008309B0" w:rsidP="006D73EF">
      <w:pPr>
        <w:spacing w:line="220" w:lineRule="exact"/>
        <w:rPr>
          <w:b/>
        </w:rPr>
      </w:pPr>
      <w:bookmarkStart w:id="0" w:name="_GoBack"/>
      <w:bookmarkEnd w:id="0"/>
      <w:r>
        <w:rPr>
          <w:b/>
        </w:rPr>
        <w:t xml:space="preserve">  </w:t>
      </w:r>
      <w:r w:rsidR="00C96667" w:rsidRPr="006D73EF">
        <w:rPr>
          <w:b/>
        </w:rPr>
        <w:t>4.1</w:t>
      </w:r>
      <w:r w:rsidR="00C96667" w:rsidRPr="006D73EF">
        <w:rPr>
          <w:b/>
        </w:rPr>
        <w:tab/>
      </w:r>
      <w:r w:rsidR="0087770F" w:rsidRPr="006D73EF">
        <w:rPr>
          <w:b/>
        </w:rPr>
        <w:t>Al</w:t>
      </w:r>
      <w:r w:rsidR="00430BC3" w:rsidRPr="006D73EF">
        <w:rPr>
          <w:b/>
        </w:rPr>
        <w:t>gemene Poortwachter voorwaarden</w:t>
      </w:r>
    </w:p>
    <w:p w:rsidR="0087770F" w:rsidRPr="006D73EF" w:rsidRDefault="0087770F" w:rsidP="006D73EF">
      <w:pPr>
        <w:spacing w:line="220" w:lineRule="exact"/>
      </w:pPr>
    </w:p>
    <w:p w:rsidR="009851D6" w:rsidRPr="006D73EF" w:rsidRDefault="0087770F" w:rsidP="006D73EF">
      <w:pPr>
        <w:spacing w:line="220" w:lineRule="exact"/>
      </w:pPr>
      <w:r w:rsidRPr="006D73EF">
        <w:t xml:space="preserve">Het poortwachterschap houdt in dat het GMP+ gecertificeerde bedrijf een diervoeder of een diervoederdienst aanschaft, die </w:t>
      </w:r>
      <w:r w:rsidRPr="006D73EF">
        <w:rPr>
          <w:u w:val="single"/>
        </w:rPr>
        <w:t xml:space="preserve">niet </w:t>
      </w:r>
      <w:r w:rsidRPr="006D73EF">
        <w:t>onder de scope van een GMP+ certificering of een andere, geaccepteerde diervoede</w:t>
      </w:r>
      <w:r w:rsidR="009851D6" w:rsidRPr="006D73EF">
        <w:t>rveiligheidscertificering valt.</w:t>
      </w:r>
    </w:p>
    <w:p w:rsidR="009851D6" w:rsidRPr="006D73EF" w:rsidRDefault="0087770F" w:rsidP="006D73EF">
      <w:pPr>
        <w:spacing w:line="220" w:lineRule="exact"/>
      </w:pPr>
      <w:r w:rsidRPr="006D73EF">
        <w:t>De poortwachter neemt de verantwoordelijkheid voor de veiligheid van het diervoeder of de diervoederdienst die hij in de GMP+ -keten brengt.</w:t>
      </w:r>
    </w:p>
    <w:p w:rsidR="009851D6" w:rsidRPr="006D73EF" w:rsidRDefault="009851D6" w:rsidP="006D73EF">
      <w:pPr>
        <w:spacing w:line="220" w:lineRule="exact"/>
      </w:pPr>
    </w:p>
    <w:p w:rsidR="009851D6" w:rsidRPr="006D73EF" w:rsidRDefault="0087770F" w:rsidP="006D73EF">
      <w:pPr>
        <w:numPr>
          <w:ilvl w:val="0"/>
          <w:numId w:val="16"/>
        </w:numPr>
        <w:spacing w:line="220" w:lineRule="exact"/>
      </w:pPr>
      <w:r w:rsidRPr="006D73EF">
        <w:t>De poortwachter moet consequent producten en diensten leveren die:</w:t>
      </w:r>
    </w:p>
    <w:p w:rsidR="009851D6" w:rsidRPr="006D73EF" w:rsidRDefault="0087770F" w:rsidP="006D73EF">
      <w:pPr>
        <w:numPr>
          <w:ilvl w:val="0"/>
          <w:numId w:val="17"/>
        </w:numPr>
        <w:spacing w:line="220" w:lineRule="exact"/>
      </w:pPr>
      <w:r w:rsidRPr="006D73EF">
        <w:t>veilig zijn voor gebruik in of als diervoeder, en</w:t>
      </w:r>
    </w:p>
    <w:p w:rsidR="009851D6" w:rsidRPr="006D73EF" w:rsidRDefault="0087770F" w:rsidP="006D73EF">
      <w:pPr>
        <w:numPr>
          <w:ilvl w:val="0"/>
          <w:numId w:val="17"/>
        </w:numPr>
        <w:spacing w:line="220" w:lineRule="exact"/>
      </w:pPr>
      <w:r w:rsidRPr="006D73EF">
        <w:t>voldoen aan de relevante GMP+ voorwaarden</w:t>
      </w:r>
    </w:p>
    <w:p w:rsidR="009851D6" w:rsidRPr="006D73EF" w:rsidRDefault="0087770F" w:rsidP="006D73EF">
      <w:pPr>
        <w:numPr>
          <w:ilvl w:val="0"/>
          <w:numId w:val="17"/>
        </w:numPr>
        <w:spacing w:line="220" w:lineRule="exact"/>
      </w:pPr>
      <w:r w:rsidRPr="006D73EF">
        <w:t>voldoen aan de relevante diervoederwetgeving</w:t>
      </w:r>
    </w:p>
    <w:p w:rsidR="009851D6" w:rsidRPr="006D73EF" w:rsidRDefault="009851D6" w:rsidP="006D73EF">
      <w:pPr>
        <w:spacing w:line="220" w:lineRule="exact"/>
      </w:pPr>
    </w:p>
    <w:p w:rsidR="009851D6" w:rsidRPr="006D73EF" w:rsidRDefault="0087770F" w:rsidP="006D73EF">
      <w:pPr>
        <w:numPr>
          <w:ilvl w:val="0"/>
          <w:numId w:val="16"/>
        </w:numPr>
        <w:spacing w:line="220" w:lineRule="exact"/>
      </w:pPr>
      <w:r w:rsidRPr="006D73EF">
        <w:t>De poortwachter moet een gevarenanalyse uitvoeren in overeenstemming met de HACCP beginselen, zoals uiteengezet in</w:t>
      </w:r>
      <w:r w:rsidR="009851D6" w:rsidRPr="006D73EF">
        <w:t xml:space="preserve"> de relevante GMP+ standaarden.</w:t>
      </w:r>
    </w:p>
    <w:p w:rsidR="009851D6" w:rsidRPr="006D73EF" w:rsidRDefault="0087770F" w:rsidP="006D73EF">
      <w:pPr>
        <w:spacing w:line="220" w:lineRule="exact"/>
        <w:ind w:left="360"/>
      </w:pPr>
      <w:r w:rsidRPr="006D73EF">
        <w:t>Deze gevarenanalyse moet alle operaties en activiteiten omvatten, van de oorspronkelijke productie tot aan levering en moet leiden tot het aanpakken en beheersen van alle gevaren met betrekking tot het</w:t>
      </w:r>
    </w:p>
    <w:p w:rsidR="009851D6" w:rsidRPr="006D73EF" w:rsidRDefault="0087770F" w:rsidP="006D73EF">
      <w:pPr>
        <w:numPr>
          <w:ilvl w:val="0"/>
          <w:numId w:val="17"/>
        </w:numPr>
        <w:spacing w:line="220" w:lineRule="exact"/>
      </w:pPr>
      <w:r w:rsidRPr="006D73EF">
        <w:t xml:space="preserve">specifieke </w:t>
      </w:r>
      <w:r w:rsidR="009851D6" w:rsidRPr="006D73EF">
        <w:t>betreffende diervoederproduct</w:t>
      </w:r>
    </w:p>
    <w:p w:rsidR="009851D6" w:rsidRPr="006D73EF" w:rsidRDefault="0087770F" w:rsidP="006D73EF">
      <w:pPr>
        <w:numPr>
          <w:ilvl w:val="0"/>
          <w:numId w:val="17"/>
        </w:numPr>
        <w:spacing w:line="220" w:lineRule="exact"/>
      </w:pPr>
      <w:r w:rsidRPr="006D73EF">
        <w:t>productiepro</w:t>
      </w:r>
      <w:r w:rsidR="009851D6" w:rsidRPr="006D73EF">
        <w:t>ces van dit diervoederproduct</w:t>
      </w:r>
    </w:p>
    <w:p w:rsidR="009851D6" w:rsidRPr="006D73EF" w:rsidRDefault="0087770F" w:rsidP="006D73EF">
      <w:pPr>
        <w:numPr>
          <w:ilvl w:val="0"/>
          <w:numId w:val="17"/>
        </w:numPr>
        <w:spacing w:line="220" w:lineRule="exact"/>
      </w:pPr>
      <w:r w:rsidRPr="006D73EF">
        <w:t>andere operaties en activiteit</w:t>
      </w:r>
      <w:r w:rsidR="009851D6" w:rsidRPr="006D73EF">
        <w:t xml:space="preserve">en, zoals opslag en transport </w:t>
      </w:r>
    </w:p>
    <w:p w:rsidR="009851D6" w:rsidRPr="006D73EF" w:rsidRDefault="009851D6" w:rsidP="006D73EF">
      <w:pPr>
        <w:spacing w:line="220" w:lineRule="exact"/>
      </w:pPr>
    </w:p>
    <w:p w:rsidR="009851D6" w:rsidRPr="006D73EF" w:rsidRDefault="0087770F" w:rsidP="006D73EF">
      <w:pPr>
        <w:numPr>
          <w:ilvl w:val="0"/>
          <w:numId w:val="16"/>
        </w:numPr>
        <w:spacing w:line="220" w:lineRule="exact"/>
      </w:pPr>
      <w:r w:rsidRPr="006D73EF">
        <w:t xml:space="preserve">De poortwachter moet het analyseresultaat, uitgevoerd in het kader van poortwachterschap, minimaal één keer per maand registreren </w:t>
      </w:r>
      <w:r w:rsidR="009851D6" w:rsidRPr="006D73EF">
        <w:t>in de GMP+ Monitoring database.</w:t>
      </w:r>
    </w:p>
    <w:p w:rsidR="009851D6" w:rsidRPr="006D73EF" w:rsidRDefault="0087770F" w:rsidP="006D73EF">
      <w:pPr>
        <w:spacing w:line="220" w:lineRule="exact"/>
        <w:ind w:left="360"/>
      </w:pPr>
      <w:r w:rsidRPr="006D73EF">
        <w:t>Resultaten van de analyse moeten worden gedeeld met de GMP+ Community in</w:t>
      </w:r>
      <w:r w:rsidR="009851D6" w:rsidRPr="006D73EF">
        <w:t xml:space="preserve"> de GMP+ Monitoring database.</w:t>
      </w:r>
    </w:p>
    <w:p w:rsidR="009851D6" w:rsidRPr="006D73EF" w:rsidRDefault="009851D6" w:rsidP="006D73EF">
      <w:pPr>
        <w:spacing w:line="220" w:lineRule="exact"/>
        <w:ind w:left="360"/>
      </w:pPr>
    </w:p>
    <w:p w:rsidR="009851D6" w:rsidRPr="006D73EF" w:rsidRDefault="0087770F" w:rsidP="006D73EF">
      <w:pPr>
        <w:numPr>
          <w:ilvl w:val="0"/>
          <w:numId w:val="16"/>
        </w:numPr>
        <w:spacing w:line="220" w:lineRule="exact"/>
      </w:pPr>
      <w:r w:rsidRPr="006D73EF">
        <w:t>Sommige poortwachtersprotocollen vereisen dat het GMP+ bedrijf zowel de Certificatie Instelling als GMP+ International op de hoogte brengt. Zie voor details de specifi</w:t>
      </w:r>
      <w:r w:rsidR="009851D6" w:rsidRPr="006D73EF">
        <w:t>eke poortwachtersprotocollen.</w:t>
      </w:r>
    </w:p>
    <w:p w:rsidR="009851D6" w:rsidRPr="006D73EF" w:rsidRDefault="009851D6" w:rsidP="006D73EF">
      <w:pPr>
        <w:spacing w:line="220" w:lineRule="exact"/>
      </w:pPr>
    </w:p>
    <w:p w:rsidR="0087770F" w:rsidRPr="006D73EF" w:rsidRDefault="0087770F" w:rsidP="006D73EF">
      <w:pPr>
        <w:numPr>
          <w:ilvl w:val="0"/>
          <w:numId w:val="16"/>
        </w:numPr>
        <w:spacing w:line="220" w:lineRule="exact"/>
      </w:pPr>
      <w:r w:rsidRPr="006D73EF">
        <w:t>Indien de poortwachter de verantwoordelijkheden met betrekking tot de toepassing van het poortwachtersprotocol overdraagt aan de leverancier, moet dit duidelijk zijn afgesproken en vermeld, b.v. in het contract.</w:t>
      </w:r>
    </w:p>
    <w:p w:rsidR="00C96667" w:rsidRPr="006D73EF" w:rsidRDefault="00C96667" w:rsidP="006D73EF">
      <w:pPr>
        <w:spacing w:line="220" w:lineRule="exact"/>
      </w:pPr>
    </w:p>
    <w:p w:rsidR="00430BC3" w:rsidRDefault="00430BC3" w:rsidP="006D73EF">
      <w:pPr>
        <w:spacing w:line="220" w:lineRule="exact"/>
        <w:rPr>
          <w:b/>
        </w:rPr>
      </w:pPr>
      <w:r w:rsidRPr="006D73EF">
        <w:rPr>
          <w:b/>
        </w:rPr>
        <w:t>4.4</w:t>
      </w:r>
      <w:r w:rsidRPr="006D73EF">
        <w:rPr>
          <w:b/>
        </w:rPr>
        <w:tab/>
        <w:t>Diervoeder diensten</w:t>
      </w:r>
    </w:p>
    <w:p w:rsidR="006D73EF" w:rsidRPr="006D73EF" w:rsidRDefault="006D73EF" w:rsidP="006D73EF">
      <w:pPr>
        <w:spacing w:line="220" w:lineRule="exact"/>
        <w:rPr>
          <w:b/>
        </w:rPr>
      </w:pPr>
    </w:p>
    <w:p w:rsidR="00430BC3" w:rsidRPr="006D73EF" w:rsidRDefault="00430BC3" w:rsidP="006D73EF">
      <w:pPr>
        <w:spacing w:line="220" w:lineRule="exact"/>
        <w:rPr>
          <w:b/>
        </w:rPr>
      </w:pPr>
      <w:r w:rsidRPr="006D73EF">
        <w:rPr>
          <w:b/>
        </w:rPr>
        <w:t>4.4.1</w:t>
      </w:r>
      <w:r w:rsidRPr="006D73EF">
        <w:rPr>
          <w:b/>
        </w:rPr>
        <w:tab/>
        <w:t>Inkoop van wegtransport</w:t>
      </w:r>
    </w:p>
    <w:p w:rsidR="00430BC3" w:rsidRPr="006D73EF" w:rsidRDefault="00430BC3" w:rsidP="006D73EF">
      <w:pPr>
        <w:spacing w:line="220" w:lineRule="exact"/>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977"/>
        <w:gridCol w:w="4678"/>
      </w:tblGrid>
      <w:tr w:rsidR="009851D6" w:rsidRPr="006D73EF" w:rsidTr="001378C5">
        <w:tc>
          <w:tcPr>
            <w:tcW w:w="9464" w:type="dxa"/>
            <w:gridSpan w:val="3"/>
            <w:shd w:val="clear" w:color="auto" w:fill="BFBFBF"/>
          </w:tcPr>
          <w:p w:rsidR="009851D6" w:rsidRPr="001378C5" w:rsidRDefault="009851D6" w:rsidP="001378C5">
            <w:pPr>
              <w:spacing w:line="220" w:lineRule="exact"/>
              <w:rPr>
                <w:rFonts w:eastAsia="Calibri"/>
                <w:b/>
              </w:rPr>
            </w:pPr>
            <w:r w:rsidRPr="001378C5">
              <w:rPr>
                <w:rFonts w:eastAsia="Calibri"/>
                <w:b/>
              </w:rPr>
              <w:t>Scope van toepassin</w:t>
            </w:r>
            <w:r w:rsidR="00E51F12" w:rsidRPr="001378C5">
              <w:rPr>
                <w:rFonts w:eastAsia="Calibri"/>
                <w:b/>
              </w:rPr>
              <w:t>g</w:t>
            </w:r>
          </w:p>
        </w:tc>
      </w:tr>
      <w:tr w:rsidR="009851D6" w:rsidRPr="006D73EF" w:rsidTr="001378C5">
        <w:tc>
          <w:tcPr>
            <w:tcW w:w="1809" w:type="dxa"/>
            <w:shd w:val="clear" w:color="auto" w:fill="auto"/>
          </w:tcPr>
          <w:p w:rsidR="009851D6" w:rsidRPr="001378C5" w:rsidRDefault="00E51F12" w:rsidP="001378C5">
            <w:pPr>
              <w:spacing w:line="220" w:lineRule="exact"/>
              <w:rPr>
                <w:rFonts w:eastAsia="Calibri"/>
              </w:rPr>
            </w:pPr>
            <w:r w:rsidRPr="001378C5">
              <w:rPr>
                <w:rFonts w:eastAsia="Calibri"/>
              </w:rPr>
              <w:t>Diervoeder dienst</w:t>
            </w:r>
          </w:p>
        </w:tc>
        <w:tc>
          <w:tcPr>
            <w:tcW w:w="7655" w:type="dxa"/>
            <w:gridSpan w:val="2"/>
            <w:shd w:val="clear" w:color="auto" w:fill="auto"/>
          </w:tcPr>
          <w:p w:rsidR="00E51F12" w:rsidRPr="001378C5" w:rsidRDefault="00E51F12" w:rsidP="001378C5">
            <w:pPr>
              <w:numPr>
                <w:ilvl w:val="0"/>
                <w:numId w:val="18"/>
              </w:numPr>
              <w:spacing w:line="220" w:lineRule="exact"/>
              <w:rPr>
                <w:rFonts w:eastAsia="Calibri"/>
              </w:rPr>
            </w:pPr>
            <w:r w:rsidRPr="001378C5">
              <w:rPr>
                <w:rFonts w:eastAsia="Calibri"/>
              </w:rPr>
              <w:t>Wegtransport in bulk</w:t>
            </w:r>
          </w:p>
          <w:p w:rsidR="009851D6" w:rsidRPr="001378C5" w:rsidRDefault="00E51F12" w:rsidP="001378C5">
            <w:pPr>
              <w:numPr>
                <w:ilvl w:val="0"/>
                <w:numId w:val="18"/>
              </w:numPr>
              <w:spacing w:line="220" w:lineRule="exact"/>
              <w:rPr>
                <w:rFonts w:eastAsia="Calibri"/>
              </w:rPr>
            </w:pPr>
            <w:r w:rsidRPr="001378C5">
              <w:rPr>
                <w:rFonts w:eastAsia="Calibri"/>
              </w:rPr>
              <w:t>Wegtransport van plantaardige levensmiddelen in de "alleen voor levensmiddelen" laadruimten</w:t>
            </w:r>
          </w:p>
        </w:tc>
      </w:tr>
      <w:tr w:rsidR="009851D6" w:rsidRPr="006D73EF" w:rsidTr="001378C5">
        <w:tc>
          <w:tcPr>
            <w:tcW w:w="1809" w:type="dxa"/>
            <w:shd w:val="clear" w:color="auto" w:fill="auto"/>
          </w:tcPr>
          <w:p w:rsidR="009851D6" w:rsidRPr="001378C5" w:rsidRDefault="00E51F12" w:rsidP="001378C5">
            <w:pPr>
              <w:spacing w:line="220" w:lineRule="exact"/>
              <w:rPr>
                <w:rFonts w:eastAsia="Calibri"/>
              </w:rPr>
            </w:pPr>
            <w:r w:rsidRPr="001378C5">
              <w:rPr>
                <w:rFonts w:eastAsia="Calibri"/>
              </w:rPr>
              <w:t>Oorsprong</w:t>
            </w:r>
          </w:p>
        </w:tc>
        <w:tc>
          <w:tcPr>
            <w:tcW w:w="7655" w:type="dxa"/>
            <w:gridSpan w:val="2"/>
            <w:shd w:val="clear" w:color="auto" w:fill="auto"/>
          </w:tcPr>
          <w:p w:rsidR="00E51F12" w:rsidRPr="001378C5" w:rsidRDefault="00E51F12" w:rsidP="001378C5">
            <w:pPr>
              <w:spacing w:line="220" w:lineRule="exact"/>
              <w:rPr>
                <w:rFonts w:eastAsia="Calibri"/>
              </w:rPr>
            </w:pPr>
            <w:r w:rsidRPr="001378C5">
              <w:rPr>
                <w:rFonts w:eastAsia="Calibri"/>
              </w:rPr>
              <w:t>Van toepassing voor wegtransport buiten de hieronder genoemde landen:</w:t>
            </w:r>
          </w:p>
          <w:p w:rsidR="00E51F12" w:rsidRPr="001378C5" w:rsidRDefault="00E51F12" w:rsidP="001378C5">
            <w:pPr>
              <w:numPr>
                <w:ilvl w:val="0"/>
                <w:numId w:val="19"/>
              </w:numPr>
              <w:spacing w:line="220" w:lineRule="exact"/>
              <w:rPr>
                <w:rFonts w:eastAsia="Calibri"/>
              </w:rPr>
            </w:pPr>
            <w:r w:rsidRPr="001378C5">
              <w:rPr>
                <w:rFonts w:eastAsia="Calibri"/>
              </w:rPr>
              <w:t>Oostenrijk</w:t>
            </w:r>
          </w:p>
          <w:p w:rsidR="00E51F12" w:rsidRPr="001378C5" w:rsidRDefault="00E51F12" w:rsidP="001378C5">
            <w:pPr>
              <w:numPr>
                <w:ilvl w:val="0"/>
                <w:numId w:val="19"/>
              </w:numPr>
              <w:spacing w:line="220" w:lineRule="exact"/>
              <w:rPr>
                <w:rFonts w:eastAsia="Calibri"/>
              </w:rPr>
            </w:pPr>
            <w:r w:rsidRPr="001378C5">
              <w:rPr>
                <w:rFonts w:eastAsia="Calibri"/>
              </w:rPr>
              <w:t>België</w:t>
            </w:r>
          </w:p>
          <w:p w:rsidR="00E51F12" w:rsidRPr="001378C5" w:rsidRDefault="00E51F12" w:rsidP="001378C5">
            <w:pPr>
              <w:numPr>
                <w:ilvl w:val="0"/>
                <w:numId w:val="19"/>
              </w:numPr>
              <w:spacing w:line="220" w:lineRule="exact"/>
              <w:rPr>
                <w:rFonts w:eastAsia="Calibri"/>
              </w:rPr>
            </w:pPr>
            <w:r w:rsidRPr="001378C5">
              <w:rPr>
                <w:rFonts w:eastAsia="Calibri"/>
              </w:rPr>
              <w:t>Tsjechië</w:t>
            </w:r>
          </w:p>
          <w:p w:rsidR="00E51F12" w:rsidRPr="001378C5" w:rsidRDefault="00E51F12" w:rsidP="001378C5">
            <w:pPr>
              <w:numPr>
                <w:ilvl w:val="0"/>
                <w:numId w:val="19"/>
              </w:numPr>
              <w:spacing w:line="220" w:lineRule="exact"/>
              <w:rPr>
                <w:rFonts w:eastAsia="Calibri"/>
              </w:rPr>
            </w:pPr>
            <w:r w:rsidRPr="001378C5">
              <w:rPr>
                <w:rFonts w:eastAsia="Calibri"/>
              </w:rPr>
              <w:t>Duitsland</w:t>
            </w:r>
          </w:p>
          <w:p w:rsidR="00E51F12" w:rsidRPr="001378C5" w:rsidRDefault="00E51F12" w:rsidP="001378C5">
            <w:pPr>
              <w:numPr>
                <w:ilvl w:val="0"/>
                <w:numId w:val="19"/>
              </w:numPr>
              <w:spacing w:line="220" w:lineRule="exact"/>
              <w:rPr>
                <w:rFonts w:eastAsia="Calibri"/>
              </w:rPr>
            </w:pPr>
            <w:r w:rsidRPr="001378C5">
              <w:rPr>
                <w:rFonts w:eastAsia="Calibri"/>
              </w:rPr>
              <w:t>Frankrijk</w:t>
            </w:r>
          </w:p>
          <w:p w:rsidR="00E51F12" w:rsidRPr="001378C5" w:rsidRDefault="00E51F12" w:rsidP="001378C5">
            <w:pPr>
              <w:numPr>
                <w:ilvl w:val="0"/>
                <w:numId w:val="19"/>
              </w:numPr>
              <w:spacing w:line="220" w:lineRule="exact"/>
              <w:rPr>
                <w:rFonts w:eastAsia="Calibri"/>
              </w:rPr>
            </w:pPr>
            <w:r w:rsidRPr="001378C5">
              <w:rPr>
                <w:rFonts w:eastAsia="Calibri"/>
              </w:rPr>
              <w:t>Polen</w:t>
            </w:r>
          </w:p>
          <w:p w:rsidR="00E51F12" w:rsidRPr="001378C5" w:rsidRDefault="00E51F12" w:rsidP="001378C5">
            <w:pPr>
              <w:numPr>
                <w:ilvl w:val="0"/>
                <w:numId w:val="19"/>
              </w:numPr>
              <w:spacing w:line="220" w:lineRule="exact"/>
              <w:rPr>
                <w:rFonts w:eastAsia="Calibri"/>
              </w:rPr>
            </w:pPr>
            <w:r w:rsidRPr="001378C5">
              <w:rPr>
                <w:rFonts w:eastAsia="Calibri"/>
              </w:rPr>
              <w:t>Nederland</w:t>
            </w:r>
          </w:p>
          <w:p w:rsidR="00E51F12" w:rsidRPr="001378C5" w:rsidRDefault="00E51F12" w:rsidP="001378C5">
            <w:pPr>
              <w:numPr>
                <w:ilvl w:val="0"/>
                <w:numId w:val="19"/>
              </w:numPr>
              <w:spacing w:line="220" w:lineRule="exact"/>
              <w:rPr>
                <w:rFonts w:eastAsia="Calibri"/>
              </w:rPr>
            </w:pPr>
            <w:r w:rsidRPr="001378C5">
              <w:rPr>
                <w:rFonts w:eastAsia="Calibri"/>
              </w:rPr>
              <w:t>Verenigd Koninkrijk</w:t>
            </w:r>
          </w:p>
          <w:p w:rsidR="00E51F12" w:rsidRPr="001378C5" w:rsidRDefault="00E51F12" w:rsidP="001378C5">
            <w:pPr>
              <w:spacing w:line="220" w:lineRule="exact"/>
              <w:rPr>
                <w:rFonts w:eastAsia="Calibri"/>
              </w:rPr>
            </w:pPr>
          </w:p>
          <w:p w:rsidR="00E51F12" w:rsidRPr="001378C5" w:rsidRDefault="00E51F12" w:rsidP="001378C5">
            <w:pPr>
              <w:spacing w:line="220" w:lineRule="exact"/>
              <w:rPr>
                <w:rFonts w:eastAsia="Calibri"/>
              </w:rPr>
            </w:pPr>
            <w:r w:rsidRPr="001378C5">
              <w:rPr>
                <w:rFonts w:eastAsia="Calibri"/>
              </w:rPr>
              <w:t>Dit poortwachtersprotocol kan in de volgende gevallen ook in elk land voor wegtransport worden toegepast:</w:t>
            </w:r>
          </w:p>
          <w:p w:rsidR="00E51F12" w:rsidRPr="001378C5" w:rsidRDefault="00E51F12" w:rsidP="001378C5">
            <w:pPr>
              <w:numPr>
                <w:ilvl w:val="0"/>
                <w:numId w:val="20"/>
              </w:numPr>
              <w:spacing w:line="220" w:lineRule="exact"/>
              <w:rPr>
                <w:rFonts w:eastAsia="Calibri"/>
              </w:rPr>
            </w:pPr>
            <w:r w:rsidRPr="001378C5">
              <w:rPr>
                <w:rFonts w:eastAsia="Calibri"/>
              </w:rPr>
              <w:t>Tijdens oogst gedurende een periode van 90 dagen (die ook niet-opeenvolgend kan zijn), voor transport van onbewerkte landbouwproducten direct van de teler.</w:t>
            </w:r>
          </w:p>
          <w:p w:rsidR="00E51F12" w:rsidRPr="001378C5" w:rsidRDefault="00E51F12" w:rsidP="001378C5">
            <w:pPr>
              <w:numPr>
                <w:ilvl w:val="0"/>
                <w:numId w:val="20"/>
              </w:numPr>
              <w:spacing w:line="220" w:lineRule="exact"/>
              <w:rPr>
                <w:rFonts w:eastAsia="Calibri"/>
              </w:rPr>
            </w:pPr>
            <w:r w:rsidRPr="001378C5">
              <w:rPr>
                <w:rFonts w:eastAsia="Calibri"/>
              </w:rPr>
              <w:t>Transport van hooi / stro op flatbed / schuifzeilen vrachtwagens</w:t>
            </w:r>
          </w:p>
          <w:p w:rsidR="009851D6" w:rsidRPr="001378C5" w:rsidRDefault="00E51F12" w:rsidP="001378C5">
            <w:pPr>
              <w:numPr>
                <w:ilvl w:val="0"/>
                <w:numId w:val="20"/>
              </w:numPr>
              <w:spacing w:line="220" w:lineRule="exact"/>
              <w:rPr>
                <w:rFonts w:eastAsia="Calibri"/>
              </w:rPr>
            </w:pPr>
            <w:r w:rsidRPr="001378C5">
              <w:rPr>
                <w:rFonts w:eastAsia="Calibri"/>
              </w:rPr>
              <w:t>Transport van plantaardige levensmiddelen in “alleen voor levensmiddelen” laadruimten</w:t>
            </w:r>
          </w:p>
        </w:tc>
      </w:tr>
      <w:tr w:rsidR="009851D6" w:rsidRPr="006D73EF" w:rsidTr="001378C5">
        <w:tc>
          <w:tcPr>
            <w:tcW w:w="1809" w:type="dxa"/>
            <w:shd w:val="clear" w:color="auto" w:fill="auto"/>
          </w:tcPr>
          <w:p w:rsidR="009851D6" w:rsidRPr="001378C5" w:rsidRDefault="00E51F12" w:rsidP="001378C5">
            <w:pPr>
              <w:spacing w:line="220" w:lineRule="exact"/>
              <w:rPr>
                <w:rFonts w:eastAsia="Calibri"/>
              </w:rPr>
            </w:pPr>
            <w:r w:rsidRPr="001378C5">
              <w:rPr>
                <w:rFonts w:eastAsia="Calibri"/>
              </w:rPr>
              <w:t>Toegepast door</w:t>
            </w:r>
          </w:p>
        </w:tc>
        <w:tc>
          <w:tcPr>
            <w:tcW w:w="7655" w:type="dxa"/>
            <w:gridSpan w:val="2"/>
            <w:shd w:val="clear" w:color="auto" w:fill="auto"/>
          </w:tcPr>
          <w:p w:rsidR="009851D6" w:rsidRPr="001378C5" w:rsidRDefault="008F3ABA" w:rsidP="001378C5">
            <w:pPr>
              <w:spacing w:line="220" w:lineRule="exact"/>
              <w:rPr>
                <w:rFonts w:eastAsia="Calibri"/>
              </w:rPr>
            </w:pPr>
            <w:r w:rsidRPr="001378C5">
              <w:rPr>
                <w:rFonts w:eastAsia="Calibri"/>
              </w:rPr>
              <w:t>GMP+ gecertificeerd bedrijf met een productie of handel scope</w:t>
            </w:r>
          </w:p>
        </w:tc>
      </w:tr>
      <w:tr w:rsidR="009851D6" w:rsidRPr="006D73EF" w:rsidTr="001378C5">
        <w:tc>
          <w:tcPr>
            <w:tcW w:w="1809" w:type="dxa"/>
            <w:shd w:val="clear" w:color="auto" w:fill="auto"/>
          </w:tcPr>
          <w:p w:rsidR="009851D6" w:rsidRPr="001378C5" w:rsidRDefault="008F3ABA" w:rsidP="001378C5">
            <w:pPr>
              <w:spacing w:line="220" w:lineRule="exact"/>
              <w:rPr>
                <w:rFonts w:eastAsia="Calibri"/>
              </w:rPr>
            </w:pPr>
            <w:r w:rsidRPr="001378C5">
              <w:rPr>
                <w:rFonts w:eastAsia="Calibri"/>
              </w:rPr>
              <w:t>Van toepassing tot</w:t>
            </w:r>
          </w:p>
        </w:tc>
        <w:tc>
          <w:tcPr>
            <w:tcW w:w="7655" w:type="dxa"/>
            <w:gridSpan w:val="2"/>
            <w:shd w:val="clear" w:color="auto" w:fill="auto"/>
          </w:tcPr>
          <w:p w:rsidR="009851D6" w:rsidRPr="001378C5" w:rsidRDefault="008F3ABA" w:rsidP="001378C5">
            <w:pPr>
              <w:spacing w:line="220" w:lineRule="exact"/>
              <w:rPr>
                <w:rFonts w:eastAsia="Calibri"/>
              </w:rPr>
            </w:pPr>
            <w:r w:rsidRPr="001378C5">
              <w:rPr>
                <w:rFonts w:eastAsia="Calibri"/>
              </w:rPr>
              <w:t>Geen tijdslimiet</w:t>
            </w:r>
          </w:p>
        </w:tc>
      </w:tr>
      <w:tr w:rsidR="00E51F12" w:rsidRPr="006D73EF" w:rsidTr="001378C5">
        <w:tc>
          <w:tcPr>
            <w:tcW w:w="9464" w:type="dxa"/>
            <w:gridSpan w:val="3"/>
            <w:shd w:val="clear" w:color="auto" w:fill="BFBFBF"/>
          </w:tcPr>
          <w:p w:rsidR="00E51F12" w:rsidRPr="001378C5" w:rsidRDefault="008F3ABA" w:rsidP="001378C5">
            <w:pPr>
              <w:spacing w:line="220" w:lineRule="exact"/>
              <w:rPr>
                <w:rFonts w:eastAsia="Calibri"/>
                <w:b/>
              </w:rPr>
            </w:pPr>
            <w:r w:rsidRPr="001378C5">
              <w:rPr>
                <w:rFonts w:eastAsia="Calibri"/>
                <w:b/>
              </w:rPr>
              <w:lastRenderedPageBreak/>
              <w:t>Voorwaarden voor de poortwachter</w:t>
            </w:r>
          </w:p>
        </w:tc>
      </w:tr>
      <w:tr w:rsidR="009851D6" w:rsidRPr="006D73EF" w:rsidTr="001378C5">
        <w:tc>
          <w:tcPr>
            <w:tcW w:w="1809" w:type="dxa"/>
            <w:shd w:val="clear" w:color="auto" w:fill="auto"/>
          </w:tcPr>
          <w:p w:rsidR="009851D6" w:rsidRPr="001378C5" w:rsidRDefault="008F3ABA" w:rsidP="001378C5">
            <w:pPr>
              <w:spacing w:line="220" w:lineRule="exact"/>
              <w:rPr>
                <w:rFonts w:eastAsia="Calibri"/>
              </w:rPr>
            </w:pPr>
            <w:r w:rsidRPr="001378C5">
              <w:rPr>
                <w:rFonts w:eastAsia="Calibri"/>
              </w:rPr>
              <w:t>Algemeen</w:t>
            </w:r>
          </w:p>
        </w:tc>
        <w:tc>
          <w:tcPr>
            <w:tcW w:w="7655" w:type="dxa"/>
            <w:gridSpan w:val="2"/>
            <w:shd w:val="clear" w:color="auto" w:fill="auto"/>
          </w:tcPr>
          <w:p w:rsidR="009851D6" w:rsidRPr="001378C5" w:rsidRDefault="008F3ABA" w:rsidP="001378C5">
            <w:pPr>
              <w:spacing w:line="220" w:lineRule="exact"/>
              <w:rPr>
                <w:rFonts w:eastAsia="Calibri"/>
              </w:rPr>
            </w:pPr>
            <w:r w:rsidRPr="001378C5">
              <w:rPr>
                <w:rFonts w:eastAsia="Calibri"/>
              </w:rPr>
              <w:t>Zie hoofdstuk 4.1</w:t>
            </w:r>
          </w:p>
        </w:tc>
      </w:tr>
      <w:tr w:rsidR="009851D6" w:rsidRPr="006D73EF" w:rsidTr="001378C5">
        <w:tc>
          <w:tcPr>
            <w:tcW w:w="1809" w:type="dxa"/>
            <w:shd w:val="clear" w:color="auto" w:fill="auto"/>
          </w:tcPr>
          <w:p w:rsidR="009851D6" w:rsidRPr="001378C5" w:rsidRDefault="008F3ABA" w:rsidP="001378C5">
            <w:pPr>
              <w:spacing w:line="220" w:lineRule="exact"/>
              <w:rPr>
                <w:rFonts w:eastAsia="Calibri"/>
              </w:rPr>
            </w:pPr>
            <w:r w:rsidRPr="001378C5">
              <w:rPr>
                <w:rFonts w:eastAsia="Calibri"/>
              </w:rPr>
              <w:t>Specifieke voorwaarden</w:t>
            </w:r>
          </w:p>
        </w:tc>
        <w:tc>
          <w:tcPr>
            <w:tcW w:w="7655" w:type="dxa"/>
            <w:gridSpan w:val="2"/>
            <w:shd w:val="clear" w:color="auto" w:fill="auto"/>
          </w:tcPr>
          <w:p w:rsidR="008F3ABA" w:rsidRPr="001378C5" w:rsidRDefault="008F3ABA" w:rsidP="001378C5">
            <w:pPr>
              <w:spacing w:line="220" w:lineRule="exact"/>
              <w:rPr>
                <w:rFonts w:eastAsia="Calibri"/>
              </w:rPr>
            </w:pPr>
            <w:r w:rsidRPr="001378C5">
              <w:rPr>
                <w:rFonts w:eastAsia="Calibri"/>
              </w:rPr>
              <w:t>Poortwachter moet:</w:t>
            </w:r>
          </w:p>
          <w:p w:rsidR="008F3ABA" w:rsidRPr="001378C5" w:rsidRDefault="008F3ABA" w:rsidP="001378C5">
            <w:pPr>
              <w:numPr>
                <w:ilvl w:val="0"/>
                <w:numId w:val="21"/>
              </w:numPr>
              <w:spacing w:line="220" w:lineRule="exact"/>
              <w:rPr>
                <w:rFonts w:eastAsia="Calibri"/>
              </w:rPr>
            </w:pPr>
            <w:r w:rsidRPr="001378C5">
              <w:rPr>
                <w:rFonts w:eastAsia="Calibri"/>
              </w:rPr>
              <w:t>een kwaliteits- / voederveiligheidsovereenkomst hebben met de niet-gecertificeerde vervoerder;</w:t>
            </w:r>
          </w:p>
          <w:p w:rsidR="008F3ABA" w:rsidRPr="001378C5" w:rsidRDefault="008F3ABA" w:rsidP="001378C5">
            <w:pPr>
              <w:numPr>
                <w:ilvl w:val="0"/>
                <w:numId w:val="21"/>
              </w:numPr>
              <w:spacing w:line="220" w:lineRule="exact"/>
              <w:rPr>
                <w:rFonts w:eastAsia="Calibri"/>
              </w:rPr>
            </w:pPr>
            <w:r w:rsidRPr="001378C5">
              <w:rPr>
                <w:rFonts w:eastAsia="Calibri"/>
              </w:rPr>
              <w:t>indien van toepassing een overeenkomst hebben voor transport van hooi en stro. Zie bijvoorbeeld GMP+ D2.6 Ondersteunende documenten voor specifieke GMP+ toepassing. Deze informatie kan in plaats daarvan ook in de CMR worden opgenomen. Indien het afleveradres een ander GMP+ gecertificeerd bedrijf is, is deze overeenkomst niet nodig;</w:t>
            </w:r>
          </w:p>
          <w:p w:rsidR="008F3ABA" w:rsidRPr="001378C5" w:rsidRDefault="008F3ABA" w:rsidP="001378C5">
            <w:pPr>
              <w:numPr>
                <w:ilvl w:val="0"/>
                <w:numId w:val="21"/>
              </w:numPr>
              <w:spacing w:line="220" w:lineRule="exact"/>
              <w:rPr>
                <w:rFonts w:eastAsia="Calibri"/>
              </w:rPr>
            </w:pPr>
            <w:r w:rsidRPr="001378C5">
              <w:rPr>
                <w:rFonts w:eastAsia="Calibri"/>
              </w:rPr>
              <w:t>vaststellen dat de transportonderneming voldoet aan alle toepasselijke wettelijke verplichtingen met betrekking tot diervoeders;</w:t>
            </w:r>
          </w:p>
          <w:p w:rsidR="008F3ABA" w:rsidRPr="001378C5" w:rsidRDefault="008F3ABA" w:rsidP="001378C5">
            <w:pPr>
              <w:numPr>
                <w:ilvl w:val="0"/>
                <w:numId w:val="21"/>
              </w:numPr>
              <w:spacing w:line="220" w:lineRule="exact"/>
              <w:rPr>
                <w:rFonts w:eastAsia="Calibri"/>
              </w:rPr>
            </w:pPr>
            <w:r w:rsidRPr="001378C5">
              <w:rPr>
                <w:rFonts w:eastAsia="Calibri"/>
              </w:rPr>
              <w:t xml:space="preserve">informatie ontvangen over: </w:t>
            </w:r>
          </w:p>
          <w:p w:rsidR="008F3ABA" w:rsidRPr="001378C5" w:rsidRDefault="008F3ABA" w:rsidP="001378C5">
            <w:pPr>
              <w:numPr>
                <w:ilvl w:val="0"/>
                <w:numId w:val="22"/>
              </w:numPr>
              <w:spacing w:line="220" w:lineRule="exact"/>
              <w:rPr>
                <w:rFonts w:eastAsia="Calibri"/>
              </w:rPr>
            </w:pPr>
            <w:r w:rsidRPr="001378C5">
              <w:rPr>
                <w:rFonts w:eastAsia="Calibri"/>
              </w:rPr>
              <w:t>ten minste 3 voorgaande ladingen;</w:t>
            </w:r>
          </w:p>
          <w:p w:rsidR="008F3ABA" w:rsidRPr="001378C5" w:rsidRDefault="008F3ABA" w:rsidP="001378C5">
            <w:pPr>
              <w:numPr>
                <w:ilvl w:val="0"/>
                <w:numId w:val="22"/>
              </w:numPr>
              <w:spacing w:line="220" w:lineRule="exact"/>
              <w:rPr>
                <w:rFonts w:eastAsia="Calibri"/>
              </w:rPr>
            </w:pPr>
            <w:r w:rsidRPr="001378C5">
              <w:rPr>
                <w:rFonts w:eastAsia="Calibri"/>
              </w:rPr>
              <w:t>de reinigingshandelingen die daarna zijn uitgevoerd;</w:t>
            </w:r>
          </w:p>
          <w:p w:rsidR="008F3ABA" w:rsidRPr="001378C5" w:rsidRDefault="008F3ABA" w:rsidP="001378C5">
            <w:pPr>
              <w:numPr>
                <w:ilvl w:val="0"/>
                <w:numId w:val="22"/>
              </w:numPr>
              <w:spacing w:line="220" w:lineRule="exact"/>
              <w:rPr>
                <w:rFonts w:eastAsia="Calibri"/>
              </w:rPr>
            </w:pPr>
            <w:r w:rsidRPr="001378C5">
              <w:rPr>
                <w:rFonts w:eastAsia="Calibri"/>
              </w:rPr>
              <w:t>elk transport van verboden ladingen;</w:t>
            </w:r>
          </w:p>
          <w:p w:rsidR="008F3ABA" w:rsidRPr="001378C5" w:rsidRDefault="008F3ABA" w:rsidP="001378C5">
            <w:pPr>
              <w:numPr>
                <w:ilvl w:val="0"/>
                <w:numId w:val="21"/>
              </w:numPr>
              <w:spacing w:line="220" w:lineRule="exact"/>
              <w:rPr>
                <w:rFonts w:eastAsia="Calibri"/>
              </w:rPr>
            </w:pPr>
            <w:r w:rsidRPr="001378C5">
              <w:rPr>
                <w:rFonts w:eastAsia="Calibri"/>
              </w:rPr>
              <w:t xml:space="preserve">instructies geven over: </w:t>
            </w:r>
          </w:p>
          <w:p w:rsidR="008F3ABA" w:rsidRPr="001378C5" w:rsidRDefault="008F3ABA" w:rsidP="001378C5">
            <w:pPr>
              <w:numPr>
                <w:ilvl w:val="0"/>
                <w:numId w:val="23"/>
              </w:numPr>
              <w:spacing w:line="220" w:lineRule="exact"/>
              <w:rPr>
                <w:rFonts w:eastAsia="Calibri"/>
              </w:rPr>
            </w:pPr>
            <w:r w:rsidRPr="001378C5">
              <w:rPr>
                <w:rFonts w:eastAsia="Calibri"/>
              </w:rPr>
              <w:t>reiniging en / of desinfectie in overeenstemming met de IDTF en de visuele inspectie</w:t>
            </w:r>
            <w:r w:rsidR="00EC370B" w:rsidRPr="001378C5">
              <w:rPr>
                <w:rFonts w:eastAsia="Calibri"/>
              </w:rPr>
              <w:t>;</w:t>
            </w:r>
          </w:p>
          <w:p w:rsidR="008F3ABA" w:rsidRPr="001378C5" w:rsidRDefault="008F3ABA" w:rsidP="001378C5">
            <w:pPr>
              <w:numPr>
                <w:ilvl w:val="0"/>
                <w:numId w:val="23"/>
              </w:numPr>
              <w:spacing w:line="220" w:lineRule="exact"/>
              <w:rPr>
                <w:rFonts w:eastAsia="Calibri"/>
              </w:rPr>
            </w:pPr>
            <w:r w:rsidRPr="001378C5">
              <w:rPr>
                <w:rFonts w:eastAsia="Calibri"/>
              </w:rPr>
              <w:t>afhandeling van afwijkende lading</w:t>
            </w:r>
            <w:r w:rsidR="00EC370B" w:rsidRPr="001378C5">
              <w:rPr>
                <w:rFonts w:eastAsia="Calibri"/>
              </w:rPr>
              <w:t>;</w:t>
            </w:r>
          </w:p>
          <w:p w:rsidR="008F3ABA" w:rsidRPr="001378C5" w:rsidRDefault="008F3ABA" w:rsidP="001378C5">
            <w:pPr>
              <w:numPr>
                <w:ilvl w:val="0"/>
                <w:numId w:val="23"/>
              </w:numPr>
              <w:spacing w:line="220" w:lineRule="exact"/>
              <w:rPr>
                <w:rFonts w:eastAsia="Calibri"/>
              </w:rPr>
            </w:pPr>
            <w:r w:rsidRPr="001378C5">
              <w:rPr>
                <w:rFonts w:eastAsia="Calibri"/>
              </w:rPr>
              <w:t>afhandeling van verboden ladingen, enz.</w:t>
            </w:r>
            <w:r w:rsidR="00EC370B" w:rsidRPr="001378C5">
              <w:rPr>
                <w:rFonts w:eastAsia="Calibri"/>
              </w:rPr>
              <w:t>;</w:t>
            </w:r>
          </w:p>
          <w:p w:rsidR="008F3ABA" w:rsidRPr="001378C5" w:rsidRDefault="008F3ABA" w:rsidP="001378C5">
            <w:pPr>
              <w:numPr>
                <w:ilvl w:val="0"/>
                <w:numId w:val="21"/>
              </w:numPr>
              <w:spacing w:line="220" w:lineRule="exact"/>
              <w:rPr>
                <w:rFonts w:eastAsia="Calibri"/>
              </w:rPr>
            </w:pPr>
            <w:r w:rsidRPr="001378C5">
              <w:rPr>
                <w:rFonts w:eastAsia="Calibri"/>
              </w:rPr>
              <w:t>instructies geven over het documenteren als onderdeel van tracking en tracing;</w:t>
            </w:r>
          </w:p>
          <w:p w:rsidR="008F3ABA" w:rsidRPr="001378C5" w:rsidRDefault="008F3ABA" w:rsidP="001378C5">
            <w:pPr>
              <w:numPr>
                <w:ilvl w:val="0"/>
                <w:numId w:val="21"/>
              </w:numPr>
              <w:spacing w:line="220" w:lineRule="exact"/>
              <w:rPr>
                <w:rFonts w:eastAsia="Calibri"/>
              </w:rPr>
            </w:pPr>
            <w:r w:rsidRPr="001378C5">
              <w:rPr>
                <w:rFonts w:eastAsia="Calibri"/>
              </w:rPr>
              <w:t>de naleving van de overeenkomst controleren.</w:t>
            </w:r>
          </w:p>
          <w:p w:rsidR="008F3ABA" w:rsidRPr="001378C5" w:rsidRDefault="008F3ABA" w:rsidP="001378C5">
            <w:pPr>
              <w:spacing w:line="220" w:lineRule="exact"/>
              <w:ind w:left="360"/>
              <w:rPr>
                <w:rFonts w:eastAsia="Calibri"/>
              </w:rPr>
            </w:pPr>
            <w:r w:rsidRPr="001378C5">
              <w:rPr>
                <w:rFonts w:eastAsia="Calibri"/>
              </w:rPr>
              <w:t>Deze controle gebeurt door middel van een initiële en periodieke inspectie uitgevoerd door een ladingsinspecteur.</w:t>
            </w:r>
          </w:p>
          <w:p w:rsidR="008F3ABA" w:rsidRPr="001378C5" w:rsidRDefault="008F3ABA" w:rsidP="001378C5">
            <w:pPr>
              <w:spacing w:line="220" w:lineRule="exact"/>
              <w:ind w:left="360"/>
              <w:rPr>
                <w:rFonts w:eastAsia="Calibri"/>
              </w:rPr>
            </w:pPr>
            <w:r w:rsidRPr="001378C5">
              <w:rPr>
                <w:rFonts w:eastAsia="Calibri"/>
              </w:rPr>
              <w:t xml:space="preserve">Als er verboden ladingen zijn vervoerd, moet de vrijgaveprocedure worden uitgevoerd. Zie hiervoor de paragraaf Procedures op de IDTF-website. </w:t>
            </w:r>
          </w:p>
          <w:p w:rsidR="008F3ABA" w:rsidRPr="001378C5" w:rsidRDefault="008F3ABA" w:rsidP="001378C5">
            <w:pPr>
              <w:spacing w:line="220" w:lineRule="exact"/>
              <w:ind w:left="360"/>
              <w:rPr>
                <w:rFonts w:eastAsia="Calibri"/>
              </w:rPr>
            </w:pPr>
          </w:p>
          <w:p w:rsidR="009851D6" w:rsidRPr="001378C5" w:rsidRDefault="008F3ABA" w:rsidP="001378C5">
            <w:pPr>
              <w:spacing w:line="220" w:lineRule="exact"/>
              <w:rPr>
                <w:rFonts w:eastAsia="Calibri"/>
              </w:rPr>
            </w:pPr>
            <w:r w:rsidRPr="001378C5">
              <w:rPr>
                <w:rFonts w:eastAsia="Calibri"/>
              </w:rPr>
              <w:t>Bovendien, wanneer "alleen voor levensmiddelen" laadruimten worden gebruikt voor het vervoer van plantaardige levensmiddelen voor gebruik in diervoeders, moeten ze als zodanig duidelijk zichtbaar en onuitwisbaar worden gemarkeerd. “Alleen voor levensmiddelen” laadruimten moeten onder de HACCP-certificering van de vervoerder vallen.</w:t>
            </w:r>
          </w:p>
        </w:tc>
      </w:tr>
      <w:tr w:rsidR="00EC370B" w:rsidRPr="006D73EF" w:rsidTr="001378C5">
        <w:tc>
          <w:tcPr>
            <w:tcW w:w="1809" w:type="dxa"/>
            <w:vMerge w:val="restart"/>
            <w:shd w:val="clear" w:color="auto" w:fill="auto"/>
          </w:tcPr>
          <w:p w:rsidR="00EC370B" w:rsidRPr="001378C5" w:rsidRDefault="00EC370B" w:rsidP="001378C5">
            <w:pPr>
              <w:spacing w:line="220" w:lineRule="exact"/>
              <w:rPr>
                <w:rFonts w:eastAsia="Calibri"/>
              </w:rPr>
            </w:pPr>
            <w:r w:rsidRPr="001378C5">
              <w:rPr>
                <w:rFonts w:eastAsia="Calibri"/>
              </w:rPr>
              <w:t>Leveranciersevaluatie</w:t>
            </w:r>
          </w:p>
        </w:tc>
        <w:tc>
          <w:tcPr>
            <w:tcW w:w="2977" w:type="dxa"/>
            <w:shd w:val="clear" w:color="auto" w:fill="auto"/>
          </w:tcPr>
          <w:p w:rsidR="00EC370B" w:rsidRPr="001378C5" w:rsidRDefault="00EC370B" w:rsidP="001378C5">
            <w:pPr>
              <w:spacing w:line="220" w:lineRule="exact"/>
              <w:rPr>
                <w:rFonts w:eastAsia="Calibri"/>
              </w:rPr>
            </w:pPr>
            <w:r w:rsidRPr="001378C5">
              <w:rPr>
                <w:rFonts w:eastAsia="Calibri"/>
              </w:rPr>
              <w:t>a) Gevarenanalyse</w:t>
            </w:r>
          </w:p>
        </w:tc>
        <w:tc>
          <w:tcPr>
            <w:tcW w:w="4678" w:type="dxa"/>
            <w:shd w:val="clear" w:color="auto" w:fill="auto"/>
          </w:tcPr>
          <w:p w:rsidR="00EC370B" w:rsidRPr="001378C5" w:rsidRDefault="00EC370B" w:rsidP="001378C5">
            <w:pPr>
              <w:spacing w:line="220" w:lineRule="exact"/>
              <w:rPr>
                <w:rFonts w:eastAsia="Calibri"/>
              </w:rPr>
            </w:pPr>
            <w:r w:rsidRPr="001378C5">
              <w:rPr>
                <w:rFonts w:eastAsia="Calibri"/>
              </w:rPr>
              <w:t>Ja</w:t>
            </w:r>
          </w:p>
        </w:tc>
      </w:tr>
      <w:tr w:rsidR="00EC370B" w:rsidRPr="006D73EF" w:rsidTr="001378C5">
        <w:tc>
          <w:tcPr>
            <w:tcW w:w="1809" w:type="dxa"/>
            <w:vMerge/>
            <w:shd w:val="clear" w:color="auto" w:fill="auto"/>
          </w:tcPr>
          <w:p w:rsidR="00EC370B" w:rsidRPr="001378C5" w:rsidRDefault="00EC370B" w:rsidP="001378C5">
            <w:pPr>
              <w:spacing w:line="220" w:lineRule="exact"/>
              <w:rPr>
                <w:rFonts w:eastAsia="Calibri"/>
              </w:rPr>
            </w:pPr>
          </w:p>
        </w:tc>
        <w:tc>
          <w:tcPr>
            <w:tcW w:w="2977" w:type="dxa"/>
            <w:shd w:val="clear" w:color="auto" w:fill="auto"/>
          </w:tcPr>
          <w:p w:rsidR="00EC370B" w:rsidRPr="001378C5" w:rsidRDefault="00EC370B" w:rsidP="001378C5">
            <w:pPr>
              <w:spacing w:line="220" w:lineRule="exact"/>
              <w:rPr>
                <w:rFonts w:eastAsia="Calibri"/>
              </w:rPr>
            </w:pPr>
            <w:r w:rsidRPr="001378C5">
              <w:rPr>
                <w:rFonts w:eastAsia="Calibri"/>
              </w:rPr>
              <w:t>b) Leveranciersaudit</w:t>
            </w:r>
          </w:p>
        </w:tc>
        <w:tc>
          <w:tcPr>
            <w:tcW w:w="4678" w:type="dxa"/>
            <w:shd w:val="clear" w:color="auto" w:fill="auto"/>
          </w:tcPr>
          <w:p w:rsidR="00EC370B" w:rsidRPr="001378C5" w:rsidRDefault="00EC370B" w:rsidP="001378C5">
            <w:pPr>
              <w:spacing w:line="220" w:lineRule="exact"/>
              <w:rPr>
                <w:rFonts w:eastAsia="Calibri"/>
              </w:rPr>
            </w:pPr>
            <w:r w:rsidRPr="001378C5">
              <w:rPr>
                <w:rFonts w:eastAsia="Calibri"/>
              </w:rPr>
              <w:t>Ja, door middel van een initiële en periodieke inspectie</w:t>
            </w:r>
          </w:p>
        </w:tc>
      </w:tr>
      <w:tr w:rsidR="00EC370B" w:rsidRPr="006D73EF" w:rsidTr="001378C5">
        <w:tc>
          <w:tcPr>
            <w:tcW w:w="1809" w:type="dxa"/>
            <w:vMerge/>
            <w:shd w:val="clear" w:color="auto" w:fill="auto"/>
          </w:tcPr>
          <w:p w:rsidR="00EC370B" w:rsidRPr="001378C5" w:rsidRDefault="00EC370B" w:rsidP="001378C5">
            <w:pPr>
              <w:spacing w:line="220" w:lineRule="exact"/>
              <w:rPr>
                <w:rFonts w:eastAsia="Calibri"/>
              </w:rPr>
            </w:pPr>
          </w:p>
        </w:tc>
        <w:tc>
          <w:tcPr>
            <w:tcW w:w="2977" w:type="dxa"/>
            <w:shd w:val="clear" w:color="auto" w:fill="auto"/>
          </w:tcPr>
          <w:p w:rsidR="00EC370B" w:rsidRPr="001378C5" w:rsidRDefault="00EC370B" w:rsidP="001378C5">
            <w:pPr>
              <w:spacing w:line="220" w:lineRule="exact"/>
              <w:rPr>
                <w:rFonts w:eastAsia="Calibri"/>
              </w:rPr>
            </w:pPr>
            <w:r w:rsidRPr="001378C5">
              <w:rPr>
                <w:rFonts w:eastAsia="Calibri"/>
              </w:rPr>
              <w:t>c) Monstername</w:t>
            </w:r>
          </w:p>
        </w:tc>
        <w:tc>
          <w:tcPr>
            <w:tcW w:w="4678" w:type="dxa"/>
            <w:shd w:val="clear" w:color="auto" w:fill="auto"/>
          </w:tcPr>
          <w:p w:rsidR="00EC370B" w:rsidRPr="001378C5" w:rsidRDefault="00EC370B" w:rsidP="001378C5">
            <w:pPr>
              <w:spacing w:line="220" w:lineRule="exact"/>
              <w:rPr>
                <w:rFonts w:eastAsia="Calibri"/>
              </w:rPr>
            </w:pPr>
            <w:r w:rsidRPr="001378C5">
              <w:rPr>
                <w:rFonts w:eastAsia="Calibri"/>
              </w:rPr>
              <w:t>Niet van toepassing</w:t>
            </w:r>
          </w:p>
        </w:tc>
      </w:tr>
      <w:tr w:rsidR="00EC370B" w:rsidRPr="006D73EF" w:rsidTr="001378C5">
        <w:tc>
          <w:tcPr>
            <w:tcW w:w="1809" w:type="dxa"/>
            <w:vMerge/>
            <w:shd w:val="clear" w:color="auto" w:fill="auto"/>
          </w:tcPr>
          <w:p w:rsidR="00EC370B" w:rsidRPr="001378C5" w:rsidRDefault="00EC370B" w:rsidP="001378C5">
            <w:pPr>
              <w:spacing w:line="220" w:lineRule="exact"/>
              <w:rPr>
                <w:rFonts w:eastAsia="Calibri"/>
              </w:rPr>
            </w:pPr>
          </w:p>
        </w:tc>
        <w:tc>
          <w:tcPr>
            <w:tcW w:w="2977" w:type="dxa"/>
            <w:shd w:val="clear" w:color="auto" w:fill="auto"/>
          </w:tcPr>
          <w:p w:rsidR="00EC370B" w:rsidRPr="001378C5" w:rsidRDefault="00EC370B" w:rsidP="001378C5">
            <w:pPr>
              <w:spacing w:line="220" w:lineRule="exact"/>
              <w:rPr>
                <w:rFonts w:eastAsia="Calibri"/>
              </w:rPr>
            </w:pPr>
            <w:r w:rsidRPr="001378C5">
              <w:rPr>
                <w:rFonts w:eastAsia="Calibri"/>
              </w:rPr>
              <w:t>d) Analyse</w:t>
            </w:r>
          </w:p>
        </w:tc>
        <w:tc>
          <w:tcPr>
            <w:tcW w:w="4678" w:type="dxa"/>
            <w:shd w:val="clear" w:color="auto" w:fill="auto"/>
          </w:tcPr>
          <w:p w:rsidR="00EC370B" w:rsidRPr="001378C5" w:rsidRDefault="00EC370B" w:rsidP="001378C5">
            <w:pPr>
              <w:spacing w:line="220" w:lineRule="exact"/>
              <w:rPr>
                <w:rFonts w:eastAsia="Calibri"/>
              </w:rPr>
            </w:pPr>
            <w:r w:rsidRPr="001378C5">
              <w:rPr>
                <w:rFonts w:eastAsia="Calibri"/>
              </w:rPr>
              <w:t>Niet van toepassing</w:t>
            </w:r>
          </w:p>
        </w:tc>
      </w:tr>
      <w:tr w:rsidR="009851D6" w:rsidRPr="006D73EF" w:rsidTr="001378C5">
        <w:tc>
          <w:tcPr>
            <w:tcW w:w="1809" w:type="dxa"/>
            <w:shd w:val="clear" w:color="auto" w:fill="auto"/>
          </w:tcPr>
          <w:p w:rsidR="009851D6" w:rsidRPr="001378C5" w:rsidRDefault="00EC370B" w:rsidP="001378C5">
            <w:pPr>
              <w:spacing w:line="220" w:lineRule="exact"/>
              <w:rPr>
                <w:rFonts w:eastAsia="Calibri"/>
              </w:rPr>
            </w:pPr>
            <w:r w:rsidRPr="001378C5">
              <w:rPr>
                <w:rFonts w:eastAsia="Calibri"/>
              </w:rPr>
              <w:t>Registraties</w:t>
            </w:r>
          </w:p>
        </w:tc>
        <w:tc>
          <w:tcPr>
            <w:tcW w:w="7655" w:type="dxa"/>
            <w:gridSpan w:val="2"/>
            <w:shd w:val="clear" w:color="auto" w:fill="auto"/>
          </w:tcPr>
          <w:p w:rsidR="00EC370B" w:rsidRPr="001378C5" w:rsidRDefault="00EC370B" w:rsidP="001378C5">
            <w:pPr>
              <w:spacing w:line="220" w:lineRule="exact"/>
              <w:rPr>
                <w:rFonts w:eastAsia="Calibri"/>
              </w:rPr>
            </w:pPr>
            <w:r w:rsidRPr="001378C5">
              <w:rPr>
                <w:rFonts w:eastAsia="Calibri"/>
              </w:rPr>
              <w:t>Poortwachter moet het volgende registreren:</w:t>
            </w:r>
          </w:p>
          <w:p w:rsidR="00EC370B" w:rsidRPr="001378C5" w:rsidRDefault="00EC370B" w:rsidP="001378C5">
            <w:pPr>
              <w:numPr>
                <w:ilvl w:val="0"/>
                <w:numId w:val="24"/>
              </w:numPr>
              <w:spacing w:line="220" w:lineRule="exact"/>
              <w:rPr>
                <w:rFonts w:eastAsia="Calibri"/>
              </w:rPr>
            </w:pPr>
            <w:r w:rsidRPr="001378C5">
              <w:rPr>
                <w:rFonts w:eastAsia="Calibri"/>
              </w:rPr>
              <w:t>de naam, het adres en de zetel van alle door hem geborgde vervoerders.</w:t>
            </w:r>
          </w:p>
          <w:p w:rsidR="00EC370B" w:rsidRPr="001378C5" w:rsidRDefault="00EC370B" w:rsidP="001378C5">
            <w:pPr>
              <w:numPr>
                <w:ilvl w:val="0"/>
                <w:numId w:val="24"/>
              </w:numPr>
              <w:spacing w:line="220" w:lineRule="exact"/>
              <w:rPr>
                <w:rFonts w:eastAsia="Calibri"/>
              </w:rPr>
            </w:pPr>
            <w:r w:rsidRPr="001378C5">
              <w:rPr>
                <w:rFonts w:eastAsia="Calibri"/>
              </w:rPr>
              <w:t>unieke identificatie van geborgde laadruimten (kentekenplaten enz.)</w:t>
            </w:r>
          </w:p>
          <w:p w:rsidR="00EC370B" w:rsidRPr="001378C5" w:rsidRDefault="00EC370B" w:rsidP="001378C5">
            <w:pPr>
              <w:numPr>
                <w:ilvl w:val="0"/>
                <w:numId w:val="24"/>
              </w:numPr>
              <w:spacing w:line="220" w:lineRule="exact"/>
              <w:rPr>
                <w:rFonts w:eastAsia="Calibri"/>
              </w:rPr>
            </w:pPr>
            <w:r w:rsidRPr="001378C5">
              <w:rPr>
                <w:rFonts w:eastAsia="Calibri"/>
              </w:rPr>
              <w:t>kwaliteitsborgingsovereenkomst</w:t>
            </w:r>
          </w:p>
          <w:p w:rsidR="00DD5278" w:rsidRPr="001378C5" w:rsidRDefault="00EC370B" w:rsidP="001378C5">
            <w:pPr>
              <w:numPr>
                <w:ilvl w:val="0"/>
                <w:numId w:val="24"/>
              </w:numPr>
              <w:spacing w:line="220" w:lineRule="exact"/>
              <w:rPr>
                <w:rFonts w:eastAsia="Calibri"/>
              </w:rPr>
            </w:pPr>
            <w:r w:rsidRPr="001378C5">
              <w:rPr>
                <w:rFonts w:eastAsia="Calibri"/>
              </w:rPr>
              <w:t>overeenkomst vo</w:t>
            </w:r>
            <w:r w:rsidR="00DD5278" w:rsidRPr="001378C5">
              <w:rPr>
                <w:rFonts w:eastAsia="Calibri"/>
              </w:rPr>
              <w:t>or transport van hooi en stro</w:t>
            </w:r>
          </w:p>
          <w:p w:rsidR="00DD5278" w:rsidRPr="001378C5" w:rsidRDefault="00EC370B" w:rsidP="001378C5">
            <w:pPr>
              <w:numPr>
                <w:ilvl w:val="0"/>
                <w:numId w:val="24"/>
              </w:numPr>
              <w:spacing w:line="220" w:lineRule="exact"/>
              <w:rPr>
                <w:rFonts w:eastAsia="Calibri"/>
              </w:rPr>
            </w:pPr>
            <w:r w:rsidRPr="001378C5">
              <w:rPr>
                <w:rFonts w:eastAsia="Calibri"/>
              </w:rPr>
              <w:t>instructies aan de verantwoordelijke</w:t>
            </w:r>
          </w:p>
          <w:p w:rsidR="00DD5278" w:rsidRPr="001378C5" w:rsidRDefault="00EC370B" w:rsidP="001378C5">
            <w:pPr>
              <w:numPr>
                <w:ilvl w:val="0"/>
                <w:numId w:val="24"/>
              </w:numPr>
              <w:spacing w:line="220" w:lineRule="exact"/>
              <w:rPr>
                <w:rFonts w:eastAsia="Calibri"/>
              </w:rPr>
            </w:pPr>
            <w:r w:rsidRPr="001378C5">
              <w:rPr>
                <w:rFonts w:eastAsia="Calibri"/>
              </w:rPr>
              <w:t>rapportage van in</w:t>
            </w:r>
            <w:r w:rsidR="00DD5278" w:rsidRPr="001378C5">
              <w:rPr>
                <w:rFonts w:eastAsia="Calibri"/>
              </w:rPr>
              <w:t>itiële en periodieke inspecties</w:t>
            </w:r>
          </w:p>
          <w:p w:rsidR="00DD5278" w:rsidRPr="001378C5" w:rsidRDefault="00DD5278" w:rsidP="001378C5">
            <w:pPr>
              <w:spacing w:line="220" w:lineRule="exact"/>
              <w:rPr>
                <w:rFonts w:eastAsia="Calibri"/>
              </w:rPr>
            </w:pPr>
          </w:p>
          <w:p w:rsidR="009851D6" w:rsidRPr="001378C5" w:rsidRDefault="00EC370B" w:rsidP="001378C5">
            <w:pPr>
              <w:spacing w:line="220" w:lineRule="exact"/>
              <w:rPr>
                <w:rFonts w:eastAsia="Calibri"/>
              </w:rPr>
            </w:pPr>
            <w:r w:rsidRPr="001378C5">
              <w:rPr>
                <w:rFonts w:eastAsia="Calibri"/>
              </w:rPr>
              <w:t>Gegevens en documentatie met betrekking tot de toepassing van dit protocol moeten worden gedocumenteerd. Dit moet beschikbaar zijn voor de auditor en - op verzoek - voor GMP+ International.</w:t>
            </w:r>
          </w:p>
        </w:tc>
      </w:tr>
      <w:tr w:rsidR="00DD5278" w:rsidRPr="006D73EF" w:rsidTr="001378C5">
        <w:tc>
          <w:tcPr>
            <w:tcW w:w="9464" w:type="dxa"/>
            <w:gridSpan w:val="3"/>
            <w:shd w:val="clear" w:color="auto" w:fill="BFBFBF"/>
          </w:tcPr>
          <w:p w:rsidR="00DD5278" w:rsidRPr="001378C5" w:rsidRDefault="00DD5278" w:rsidP="001378C5">
            <w:pPr>
              <w:spacing w:line="220" w:lineRule="exact"/>
              <w:rPr>
                <w:rFonts w:eastAsia="Calibri"/>
                <w:b/>
              </w:rPr>
            </w:pPr>
            <w:r w:rsidRPr="001378C5">
              <w:rPr>
                <w:rFonts w:eastAsia="Calibri"/>
                <w:b/>
              </w:rPr>
              <w:t>Notificatie over de toepassing van dit protocol</w:t>
            </w:r>
          </w:p>
        </w:tc>
      </w:tr>
      <w:tr w:rsidR="008F3ABA" w:rsidRPr="006D73EF" w:rsidTr="001378C5">
        <w:tc>
          <w:tcPr>
            <w:tcW w:w="1809" w:type="dxa"/>
            <w:shd w:val="clear" w:color="auto" w:fill="auto"/>
          </w:tcPr>
          <w:p w:rsidR="008F3ABA" w:rsidRPr="001378C5" w:rsidRDefault="00DD5278" w:rsidP="001378C5">
            <w:pPr>
              <w:spacing w:line="220" w:lineRule="exact"/>
              <w:rPr>
                <w:rFonts w:eastAsia="Calibri"/>
              </w:rPr>
            </w:pPr>
            <w:r w:rsidRPr="001378C5">
              <w:rPr>
                <w:rFonts w:eastAsia="Calibri"/>
              </w:rPr>
              <w:t>Notificatie aan de Certificatie Instelling</w:t>
            </w:r>
          </w:p>
        </w:tc>
        <w:tc>
          <w:tcPr>
            <w:tcW w:w="7655" w:type="dxa"/>
            <w:gridSpan w:val="2"/>
            <w:shd w:val="clear" w:color="auto" w:fill="auto"/>
          </w:tcPr>
          <w:p w:rsidR="008F3ABA" w:rsidRPr="001378C5" w:rsidRDefault="00DD5278" w:rsidP="001378C5">
            <w:pPr>
              <w:spacing w:line="220" w:lineRule="exact"/>
              <w:rPr>
                <w:rFonts w:eastAsia="Calibri"/>
              </w:rPr>
            </w:pPr>
            <w:r w:rsidRPr="001378C5">
              <w:rPr>
                <w:rFonts w:eastAsia="Calibri"/>
              </w:rPr>
              <w:t>Ja</w:t>
            </w:r>
          </w:p>
        </w:tc>
      </w:tr>
      <w:tr w:rsidR="008F3ABA" w:rsidRPr="006D73EF" w:rsidTr="001378C5">
        <w:tc>
          <w:tcPr>
            <w:tcW w:w="1809" w:type="dxa"/>
            <w:shd w:val="clear" w:color="auto" w:fill="auto"/>
          </w:tcPr>
          <w:p w:rsidR="008F3ABA" w:rsidRPr="001378C5" w:rsidRDefault="00DD5278" w:rsidP="001378C5">
            <w:pPr>
              <w:spacing w:line="220" w:lineRule="exact"/>
              <w:rPr>
                <w:rFonts w:eastAsia="Calibri"/>
              </w:rPr>
            </w:pPr>
            <w:r w:rsidRPr="001378C5">
              <w:rPr>
                <w:rFonts w:eastAsia="Calibri"/>
              </w:rPr>
              <w:t>Notificatie aan GMP+ International</w:t>
            </w:r>
          </w:p>
        </w:tc>
        <w:tc>
          <w:tcPr>
            <w:tcW w:w="7655" w:type="dxa"/>
            <w:gridSpan w:val="2"/>
            <w:shd w:val="clear" w:color="auto" w:fill="auto"/>
          </w:tcPr>
          <w:p w:rsidR="00DD5278" w:rsidRPr="001378C5" w:rsidRDefault="00DD5278" w:rsidP="001378C5">
            <w:pPr>
              <w:spacing w:line="220" w:lineRule="exact"/>
              <w:rPr>
                <w:rFonts w:eastAsia="Calibri"/>
                <w:color w:val="17365D"/>
              </w:rPr>
            </w:pPr>
            <w:r w:rsidRPr="001378C5">
              <w:rPr>
                <w:rFonts w:eastAsia="Calibri"/>
              </w:rPr>
              <w:t>Ja, voordat u dit protocol gaat gebruiken via het volgende adres:</w:t>
            </w:r>
            <w:r w:rsidR="00A74B44" w:rsidRPr="001378C5">
              <w:rPr>
                <w:rFonts w:eastAsia="Calibri"/>
              </w:rPr>
              <w:t xml:space="preserve"> </w:t>
            </w:r>
            <w:r w:rsidR="00A74B44" w:rsidRPr="001378C5">
              <w:rPr>
                <w:rFonts w:eastAsia="Calibri"/>
                <w:color w:val="17365D"/>
              </w:rPr>
              <w:t>https://www.formdesk.com/gmpinternational/Notification_form_Gatekeeper_4.4.1_EN</w:t>
            </w:r>
          </w:p>
          <w:p w:rsidR="00DD5278" w:rsidRPr="001378C5" w:rsidRDefault="00DD5278" w:rsidP="001378C5">
            <w:pPr>
              <w:spacing w:line="220" w:lineRule="exact"/>
              <w:rPr>
                <w:rFonts w:eastAsia="Calibri"/>
                <w:color w:val="17365D"/>
              </w:rPr>
            </w:pPr>
          </w:p>
          <w:p w:rsidR="008F3ABA" w:rsidRPr="001378C5" w:rsidRDefault="00DD5278" w:rsidP="001378C5">
            <w:pPr>
              <w:spacing w:line="220" w:lineRule="exact"/>
              <w:rPr>
                <w:rFonts w:eastAsia="Calibri"/>
              </w:rPr>
            </w:pPr>
            <w:r w:rsidRPr="001378C5">
              <w:rPr>
                <w:rFonts w:eastAsia="Calibri"/>
              </w:rPr>
              <w:t>Het is verplicht om GMP+ International op de hoogte te stellen telkens wanneer u dit poortwachtersprotocol gaat gebruiken in een ander land</w:t>
            </w:r>
          </w:p>
        </w:tc>
      </w:tr>
    </w:tbl>
    <w:p w:rsidR="00C96667" w:rsidRPr="00C54BEE" w:rsidRDefault="00430BC3" w:rsidP="00E51F12">
      <w:pPr>
        <w:spacing w:line="240" w:lineRule="exact"/>
      </w:pPr>
      <w:r>
        <w:t>.</w:t>
      </w:r>
    </w:p>
    <w:sectPr w:rsidR="00C96667" w:rsidRPr="00C54BEE" w:rsidSect="003B21CD">
      <w:headerReference w:type="default" r:id="rId9"/>
      <w:pgSz w:w="11906" w:h="16838" w:code="9"/>
      <w:pgMar w:top="1134" w:right="1418" w:bottom="851" w:left="1418" w:header="851"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9B6" w:rsidRDefault="00D239B6">
      <w:r>
        <w:separator/>
      </w:r>
    </w:p>
  </w:endnote>
  <w:endnote w:type="continuationSeparator" w:id="0">
    <w:p w:rsidR="00D239B6" w:rsidRDefault="00D2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9B6" w:rsidRDefault="00D239B6">
      <w:r>
        <w:separator/>
      </w:r>
    </w:p>
  </w:footnote>
  <w:footnote w:type="continuationSeparator" w:id="0">
    <w:p w:rsidR="00D239B6" w:rsidRDefault="00D23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095"/>
      <w:gridCol w:w="2300"/>
    </w:tblGrid>
    <w:tr w:rsidR="003B21CD" w:rsidRPr="001143DE" w:rsidTr="001F367D">
      <w:trPr>
        <w:trHeight w:val="841"/>
      </w:trPr>
      <w:tc>
        <w:tcPr>
          <w:tcW w:w="6912" w:type="dxa"/>
          <w:gridSpan w:val="2"/>
          <w:shd w:val="clear" w:color="auto" w:fill="auto"/>
        </w:tcPr>
        <w:p w:rsidR="003B21CD" w:rsidRDefault="003B21CD" w:rsidP="001F367D">
          <w:pPr>
            <w:jc w:val="center"/>
            <w:rPr>
              <w:rFonts w:eastAsia="Calibri"/>
              <w:b/>
              <w:noProof/>
              <w:sz w:val="32"/>
              <w:szCs w:val="32"/>
            </w:rPr>
          </w:pPr>
          <w:r>
            <w:rPr>
              <w:rFonts w:eastAsia="Calibri"/>
              <w:b/>
              <w:noProof/>
              <w:sz w:val="32"/>
              <w:szCs w:val="32"/>
            </w:rPr>
            <w:t>GMP+</w:t>
          </w:r>
          <w:r w:rsidR="00A24B98">
            <w:rPr>
              <w:rFonts w:eastAsia="Calibri"/>
              <w:b/>
              <w:noProof/>
              <w:sz w:val="32"/>
              <w:szCs w:val="32"/>
            </w:rPr>
            <w:t xml:space="preserve"> FSA / FRA  Handboek Transportbedrijf</w:t>
          </w:r>
        </w:p>
        <w:p w:rsidR="003B21CD" w:rsidRPr="00456026" w:rsidRDefault="003B21CD" w:rsidP="001F367D">
          <w:pPr>
            <w:jc w:val="center"/>
            <w:rPr>
              <w:rFonts w:eastAsia="Calibri"/>
              <w:b/>
              <w:noProof/>
              <w:sz w:val="32"/>
              <w:szCs w:val="32"/>
            </w:rPr>
          </w:pPr>
        </w:p>
      </w:tc>
      <w:tc>
        <w:tcPr>
          <w:tcW w:w="2300" w:type="dxa"/>
          <w:shd w:val="clear" w:color="auto" w:fill="auto"/>
        </w:tcPr>
        <w:p w:rsidR="003B21CD" w:rsidRPr="003B1481" w:rsidRDefault="00256445" w:rsidP="001F367D">
          <w:pPr>
            <w:rPr>
              <w:rFonts w:eastAsia="Calibri"/>
              <w:noProof/>
              <w:sz w:val="22"/>
              <w:szCs w:val="22"/>
            </w:rPr>
          </w:pPr>
          <w:r>
            <w:rPr>
              <w:rFonts w:eastAsia="Calibri"/>
              <w:noProof/>
              <w:sz w:val="22"/>
              <w:szCs w:val="22"/>
            </w:rPr>
            <w:t>Datum:     27-12</w:t>
          </w:r>
          <w:r w:rsidR="003B21CD">
            <w:rPr>
              <w:rFonts w:eastAsia="Calibri"/>
              <w:noProof/>
              <w:sz w:val="22"/>
              <w:szCs w:val="22"/>
            </w:rPr>
            <w:t>-2020</w:t>
          </w:r>
          <w:r w:rsidR="003B21CD" w:rsidRPr="003B1481">
            <w:rPr>
              <w:rFonts w:eastAsia="Calibri"/>
              <w:noProof/>
              <w:sz w:val="22"/>
              <w:szCs w:val="22"/>
            </w:rPr>
            <w:t xml:space="preserve">           </w:t>
          </w:r>
        </w:p>
        <w:p w:rsidR="003B21CD" w:rsidRPr="003B1481" w:rsidRDefault="003B21CD" w:rsidP="001F367D">
          <w:pPr>
            <w:rPr>
              <w:rFonts w:eastAsia="Calibri"/>
              <w:noProof/>
              <w:sz w:val="22"/>
              <w:szCs w:val="22"/>
            </w:rPr>
          </w:pPr>
          <w:r w:rsidRPr="003B1481">
            <w:rPr>
              <w:rFonts w:eastAsia="Calibri"/>
              <w:noProof/>
              <w:sz w:val="22"/>
              <w:szCs w:val="22"/>
            </w:rPr>
            <w:t>Versie:      1</w:t>
          </w:r>
        </w:p>
        <w:p w:rsidR="003B21CD" w:rsidRPr="003B1481" w:rsidRDefault="003B21CD" w:rsidP="001F367D">
          <w:pPr>
            <w:rPr>
              <w:rFonts w:eastAsia="Calibri"/>
              <w:noProof/>
              <w:color w:val="FF0000"/>
              <w:sz w:val="22"/>
              <w:szCs w:val="22"/>
            </w:rPr>
          </w:pPr>
          <w:r w:rsidRPr="003B1481">
            <w:rPr>
              <w:rFonts w:eastAsia="Calibri"/>
              <w:noProof/>
              <w:sz w:val="22"/>
              <w:szCs w:val="22"/>
            </w:rPr>
            <w:t>Pagina</w:t>
          </w:r>
          <w:r>
            <w:rPr>
              <w:rFonts w:eastAsia="Calibri"/>
              <w:noProof/>
              <w:sz w:val="22"/>
              <w:szCs w:val="22"/>
            </w:rPr>
            <w:t xml:space="preserve">:      </w:t>
          </w:r>
          <w:r w:rsidRPr="003B1481">
            <w:rPr>
              <w:rStyle w:val="Paginanummer"/>
              <w:rFonts w:eastAsia="Calibri"/>
              <w:sz w:val="22"/>
              <w:szCs w:val="22"/>
            </w:rPr>
            <w:fldChar w:fldCharType="begin"/>
          </w:r>
          <w:r w:rsidRPr="003B1481">
            <w:rPr>
              <w:rStyle w:val="Paginanummer"/>
              <w:rFonts w:eastAsia="Calibri"/>
              <w:sz w:val="22"/>
              <w:szCs w:val="22"/>
            </w:rPr>
            <w:instrText xml:space="preserve"> PAGE </w:instrText>
          </w:r>
          <w:r w:rsidRPr="003B1481">
            <w:rPr>
              <w:rStyle w:val="Paginanummer"/>
              <w:rFonts w:eastAsia="Calibri"/>
              <w:sz w:val="22"/>
              <w:szCs w:val="22"/>
            </w:rPr>
            <w:fldChar w:fldCharType="separate"/>
          </w:r>
          <w:r w:rsidR="00F50340">
            <w:rPr>
              <w:rStyle w:val="Paginanummer"/>
              <w:rFonts w:eastAsia="Calibri"/>
              <w:noProof/>
              <w:sz w:val="22"/>
              <w:szCs w:val="22"/>
            </w:rPr>
            <w:t>1</w:t>
          </w:r>
          <w:r w:rsidRPr="003B1481">
            <w:rPr>
              <w:rStyle w:val="Paginanummer"/>
              <w:rFonts w:eastAsia="Calibri"/>
              <w:sz w:val="22"/>
              <w:szCs w:val="22"/>
            </w:rPr>
            <w:fldChar w:fldCharType="end"/>
          </w:r>
          <w:r w:rsidRPr="003B1481">
            <w:rPr>
              <w:rStyle w:val="Paginanummer"/>
              <w:rFonts w:eastAsia="Calibri"/>
              <w:sz w:val="22"/>
              <w:szCs w:val="22"/>
            </w:rPr>
            <w:t xml:space="preserve"> van </w:t>
          </w:r>
          <w:r w:rsidRPr="003B1481">
            <w:rPr>
              <w:rStyle w:val="Paginanummer"/>
              <w:rFonts w:eastAsia="Calibri"/>
              <w:sz w:val="22"/>
              <w:szCs w:val="22"/>
            </w:rPr>
            <w:fldChar w:fldCharType="begin"/>
          </w:r>
          <w:r w:rsidRPr="003B1481">
            <w:rPr>
              <w:rStyle w:val="Paginanummer"/>
              <w:rFonts w:eastAsia="Calibri"/>
              <w:sz w:val="22"/>
              <w:szCs w:val="22"/>
            </w:rPr>
            <w:instrText xml:space="preserve"> NUMPAGES </w:instrText>
          </w:r>
          <w:r w:rsidRPr="003B1481">
            <w:rPr>
              <w:rStyle w:val="Paginanummer"/>
              <w:rFonts w:eastAsia="Calibri"/>
              <w:sz w:val="22"/>
              <w:szCs w:val="22"/>
            </w:rPr>
            <w:fldChar w:fldCharType="separate"/>
          </w:r>
          <w:r w:rsidR="00F50340">
            <w:rPr>
              <w:rStyle w:val="Paginanummer"/>
              <w:rFonts w:eastAsia="Calibri"/>
              <w:noProof/>
              <w:sz w:val="22"/>
              <w:szCs w:val="22"/>
            </w:rPr>
            <w:t>2</w:t>
          </w:r>
          <w:r w:rsidRPr="003B1481">
            <w:rPr>
              <w:rStyle w:val="Paginanummer"/>
              <w:rFonts w:eastAsia="Calibri"/>
              <w:sz w:val="22"/>
              <w:szCs w:val="22"/>
            </w:rPr>
            <w:fldChar w:fldCharType="end"/>
          </w:r>
        </w:p>
      </w:tc>
    </w:tr>
    <w:tr w:rsidR="003B21CD" w:rsidRPr="008F3893" w:rsidTr="001F367D">
      <w:trPr>
        <w:trHeight w:val="278"/>
      </w:trPr>
      <w:tc>
        <w:tcPr>
          <w:tcW w:w="817" w:type="dxa"/>
          <w:shd w:val="clear" w:color="auto" w:fill="auto"/>
        </w:tcPr>
        <w:p w:rsidR="003B21CD" w:rsidRPr="003B1481" w:rsidRDefault="00CD6B93" w:rsidP="001F367D">
          <w:pPr>
            <w:spacing w:before="240" w:line="276" w:lineRule="auto"/>
            <w:rPr>
              <w:rFonts w:eastAsia="Calibri"/>
              <w:b/>
              <w:noProof/>
              <w:sz w:val="24"/>
              <w:szCs w:val="24"/>
            </w:rPr>
          </w:pPr>
          <w:r>
            <w:rPr>
              <w:rFonts w:eastAsia="Calibri"/>
              <w:b/>
              <w:noProof/>
              <w:sz w:val="24"/>
              <w:szCs w:val="24"/>
            </w:rPr>
            <w:t>6.12</w:t>
          </w:r>
        </w:p>
      </w:tc>
      <w:tc>
        <w:tcPr>
          <w:tcW w:w="8395" w:type="dxa"/>
          <w:gridSpan w:val="2"/>
          <w:shd w:val="clear" w:color="auto" w:fill="auto"/>
        </w:tcPr>
        <w:p w:rsidR="003B21CD" w:rsidRPr="003B1481" w:rsidRDefault="00CA506A" w:rsidP="00CD6B93">
          <w:pPr>
            <w:spacing w:before="240" w:line="276" w:lineRule="auto"/>
            <w:rPr>
              <w:rFonts w:eastAsia="Calibri"/>
              <w:b/>
              <w:noProof/>
              <w:sz w:val="24"/>
              <w:szCs w:val="24"/>
            </w:rPr>
          </w:pPr>
          <w:r>
            <w:rPr>
              <w:rFonts w:eastAsia="Calibri"/>
              <w:b/>
              <w:noProof/>
              <w:sz w:val="24"/>
              <w:szCs w:val="24"/>
            </w:rPr>
            <w:t>POORTWACHTER</w:t>
          </w:r>
          <w:r w:rsidR="008309B0">
            <w:rPr>
              <w:rFonts w:eastAsia="Calibri"/>
              <w:b/>
              <w:noProof/>
              <w:sz w:val="24"/>
              <w:szCs w:val="24"/>
            </w:rPr>
            <w:t xml:space="preserve"> OPTIE</w:t>
          </w:r>
        </w:p>
      </w:tc>
    </w:tr>
  </w:tbl>
  <w:p w:rsidR="00A60DBA" w:rsidRPr="00D168D7" w:rsidRDefault="00A60DBA" w:rsidP="00D168D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AEE"/>
    <w:multiLevelType w:val="hybridMultilevel"/>
    <w:tmpl w:val="0234C108"/>
    <w:lvl w:ilvl="0" w:tplc="7902DAFE">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F6128A"/>
    <w:multiLevelType w:val="hybridMultilevel"/>
    <w:tmpl w:val="57B4104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3FE5A98"/>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3">
    <w:nsid w:val="0FCA7B9C"/>
    <w:multiLevelType w:val="hybridMultilevel"/>
    <w:tmpl w:val="B8AC52B0"/>
    <w:lvl w:ilvl="0" w:tplc="CB14449E">
      <w:start w:val="1"/>
      <w:numFmt w:val="bullet"/>
      <w:lvlText w:val=""/>
      <w:lvlJc w:val="left"/>
      <w:pPr>
        <w:tabs>
          <w:tab w:val="num" w:pos="363"/>
        </w:tabs>
        <w:ind w:left="363" w:hanging="363"/>
      </w:pPr>
      <w:rPr>
        <w:rFonts w:ascii="Symbol" w:hAnsi="Symbol" w:hint="default"/>
      </w:rPr>
    </w:lvl>
    <w:lvl w:ilvl="1" w:tplc="04130003">
      <w:start w:val="1"/>
      <w:numFmt w:val="bullet"/>
      <w:lvlText w:val="o"/>
      <w:lvlJc w:val="left"/>
      <w:pPr>
        <w:tabs>
          <w:tab w:val="num" w:pos="1077"/>
        </w:tabs>
        <w:ind w:left="1077" w:hanging="360"/>
      </w:pPr>
      <w:rPr>
        <w:rFonts w:ascii="Courier New" w:hAnsi="Courier New" w:cs="Courier New" w:hint="default"/>
      </w:rPr>
    </w:lvl>
    <w:lvl w:ilvl="2" w:tplc="04130005" w:tentative="1">
      <w:start w:val="1"/>
      <w:numFmt w:val="bullet"/>
      <w:lvlText w:val=""/>
      <w:lvlJc w:val="left"/>
      <w:pPr>
        <w:tabs>
          <w:tab w:val="num" w:pos="1797"/>
        </w:tabs>
        <w:ind w:left="1797" w:hanging="360"/>
      </w:pPr>
      <w:rPr>
        <w:rFonts w:ascii="Wingdings" w:hAnsi="Wingdings" w:hint="default"/>
      </w:rPr>
    </w:lvl>
    <w:lvl w:ilvl="3" w:tplc="04130001" w:tentative="1">
      <w:start w:val="1"/>
      <w:numFmt w:val="bullet"/>
      <w:lvlText w:val=""/>
      <w:lvlJc w:val="left"/>
      <w:pPr>
        <w:tabs>
          <w:tab w:val="num" w:pos="2517"/>
        </w:tabs>
        <w:ind w:left="2517" w:hanging="360"/>
      </w:pPr>
      <w:rPr>
        <w:rFonts w:ascii="Symbol" w:hAnsi="Symbol" w:hint="default"/>
      </w:rPr>
    </w:lvl>
    <w:lvl w:ilvl="4" w:tplc="04130003" w:tentative="1">
      <w:start w:val="1"/>
      <w:numFmt w:val="bullet"/>
      <w:lvlText w:val="o"/>
      <w:lvlJc w:val="left"/>
      <w:pPr>
        <w:tabs>
          <w:tab w:val="num" w:pos="3237"/>
        </w:tabs>
        <w:ind w:left="3237" w:hanging="360"/>
      </w:pPr>
      <w:rPr>
        <w:rFonts w:ascii="Courier New" w:hAnsi="Courier New" w:cs="Courier New" w:hint="default"/>
      </w:rPr>
    </w:lvl>
    <w:lvl w:ilvl="5" w:tplc="04130005" w:tentative="1">
      <w:start w:val="1"/>
      <w:numFmt w:val="bullet"/>
      <w:lvlText w:val=""/>
      <w:lvlJc w:val="left"/>
      <w:pPr>
        <w:tabs>
          <w:tab w:val="num" w:pos="3957"/>
        </w:tabs>
        <w:ind w:left="3957" w:hanging="360"/>
      </w:pPr>
      <w:rPr>
        <w:rFonts w:ascii="Wingdings" w:hAnsi="Wingdings" w:hint="default"/>
      </w:rPr>
    </w:lvl>
    <w:lvl w:ilvl="6" w:tplc="04130001" w:tentative="1">
      <w:start w:val="1"/>
      <w:numFmt w:val="bullet"/>
      <w:lvlText w:val=""/>
      <w:lvlJc w:val="left"/>
      <w:pPr>
        <w:tabs>
          <w:tab w:val="num" w:pos="4677"/>
        </w:tabs>
        <w:ind w:left="4677" w:hanging="360"/>
      </w:pPr>
      <w:rPr>
        <w:rFonts w:ascii="Symbol" w:hAnsi="Symbol" w:hint="default"/>
      </w:rPr>
    </w:lvl>
    <w:lvl w:ilvl="7" w:tplc="04130003" w:tentative="1">
      <w:start w:val="1"/>
      <w:numFmt w:val="bullet"/>
      <w:lvlText w:val="o"/>
      <w:lvlJc w:val="left"/>
      <w:pPr>
        <w:tabs>
          <w:tab w:val="num" w:pos="5397"/>
        </w:tabs>
        <w:ind w:left="5397" w:hanging="360"/>
      </w:pPr>
      <w:rPr>
        <w:rFonts w:ascii="Courier New" w:hAnsi="Courier New" w:cs="Courier New" w:hint="default"/>
      </w:rPr>
    </w:lvl>
    <w:lvl w:ilvl="8" w:tplc="04130005" w:tentative="1">
      <w:start w:val="1"/>
      <w:numFmt w:val="bullet"/>
      <w:lvlText w:val=""/>
      <w:lvlJc w:val="left"/>
      <w:pPr>
        <w:tabs>
          <w:tab w:val="num" w:pos="6117"/>
        </w:tabs>
        <w:ind w:left="6117" w:hanging="360"/>
      </w:pPr>
      <w:rPr>
        <w:rFonts w:ascii="Wingdings" w:hAnsi="Wingdings" w:hint="default"/>
      </w:rPr>
    </w:lvl>
  </w:abstractNum>
  <w:abstractNum w:abstractNumId="4">
    <w:nsid w:val="11EF3460"/>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5">
    <w:nsid w:val="22891B91"/>
    <w:multiLevelType w:val="hybridMultilevel"/>
    <w:tmpl w:val="60ECAF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22DC012E"/>
    <w:multiLevelType w:val="hybridMultilevel"/>
    <w:tmpl w:val="EA6815F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30C3F11"/>
    <w:multiLevelType w:val="hybridMultilevel"/>
    <w:tmpl w:val="84D69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3E12950"/>
    <w:multiLevelType w:val="hybridMultilevel"/>
    <w:tmpl w:val="1E4E110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5880AE1"/>
    <w:multiLevelType w:val="hybridMultilevel"/>
    <w:tmpl w:val="31805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ACC0D69"/>
    <w:multiLevelType w:val="hybridMultilevel"/>
    <w:tmpl w:val="6BB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D165D2B"/>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12">
    <w:nsid w:val="2E413DF1"/>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13">
    <w:nsid w:val="35ED04C1"/>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14">
    <w:nsid w:val="49B326A2"/>
    <w:multiLevelType w:val="hybridMultilevel"/>
    <w:tmpl w:val="5C1898CA"/>
    <w:lvl w:ilvl="0" w:tplc="9AB8308C">
      <w:start w:val="1"/>
      <w:numFmt w:val="bullet"/>
      <w:lvlText w:val=""/>
      <w:lvlJc w:val="left"/>
      <w:pPr>
        <w:tabs>
          <w:tab w:val="num" w:pos="720"/>
        </w:tabs>
        <w:ind w:left="720" w:hanging="360"/>
      </w:pPr>
      <w:rPr>
        <w:rFonts w:ascii="Symbol" w:hAnsi="Symbol" w:hint="default"/>
      </w:rPr>
    </w:lvl>
    <w:lvl w:ilvl="1" w:tplc="952635C6">
      <w:start w:val="1"/>
      <w:numFmt w:val="bullet"/>
      <w:lvlText w:val="o"/>
      <w:lvlJc w:val="left"/>
      <w:pPr>
        <w:tabs>
          <w:tab w:val="num" w:pos="1440"/>
        </w:tabs>
        <w:ind w:left="1440" w:hanging="360"/>
      </w:pPr>
      <w:rPr>
        <w:rFonts w:ascii="Courier New" w:hAnsi="Courier New" w:cs="Courier New" w:hint="default"/>
      </w:rPr>
    </w:lvl>
    <w:lvl w:ilvl="2" w:tplc="71C85E4C" w:tentative="1">
      <w:start w:val="1"/>
      <w:numFmt w:val="bullet"/>
      <w:lvlText w:val=""/>
      <w:lvlJc w:val="left"/>
      <w:pPr>
        <w:tabs>
          <w:tab w:val="num" w:pos="2160"/>
        </w:tabs>
        <w:ind w:left="2160" w:hanging="360"/>
      </w:pPr>
      <w:rPr>
        <w:rFonts w:ascii="Wingdings" w:hAnsi="Wingdings" w:hint="default"/>
      </w:rPr>
    </w:lvl>
    <w:lvl w:ilvl="3" w:tplc="E08CDD96" w:tentative="1">
      <w:start w:val="1"/>
      <w:numFmt w:val="bullet"/>
      <w:lvlText w:val=""/>
      <w:lvlJc w:val="left"/>
      <w:pPr>
        <w:tabs>
          <w:tab w:val="num" w:pos="2880"/>
        </w:tabs>
        <w:ind w:left="2880" w:hanging="360"/>
      </w:pPr>
      <w:rPr>
        <w:rFonts w:ascii="Symbol" w:hAnsi="Symbol" w:hint="default"/>
      </w:rPr>
    </w:lvl>
    <w:lvl w:ilvl="4" w:tplc="3F146428" w:tentative="1">
      <w:start w:val="1"/>
      <w:numFmt w:val="bullet"/>
      <w:lvlText w:val="o"/>
      <w:lvlJc w:val="left"/>
      <w:pPr>
        <w:tabs>
          <w:tab w:val="num" w:pos="3600"/>
        </w:tabs>
        <w:ind w:left="3600" w:hanging="360"/>
      </w:pPr>
      <w:rPr>
        <w:rFonts w:ascii="Courier New" w:hAnsi="Courier New" w:cs="Courier New" w:hint="default"/>
      </w:rPr>
    </w:lvl>
    <w:lvl w:ilvl="5" w:tplc="CE1E0B0C" w:tentative="1">
      <w:start w:val="1"/>
      <w:numFmt w:val="bullet"/>
      <w:lvlText w:val=""/>
      <w:lvlJc w:val="left"/>
      <w:pPr>
        <w:tabs>
          <w:tab w:val="num" w:pos="4320"/>
        </w:tabs>
        <w:ind w:left="4320" w:hanging="360"/>
      </w:pPr>
      <w:rPr>
        <w:rFonts w:ascii="Wingdings" w:hAnsi="Wingdings" w:hint="default"/>
      </w:rPr>
    </w:lvl>
    <w:lvl w:ilvl="6" w:tplc="430EBF0A" w:tentative="1">
      <w:start w:val="1"/>
      <w:numFmt w:val="bullet"/>
      <w:lvlText w:val=""/>
      <w:lvlJc w:val="left"/>
      <w:pPr>
        <w:tabs>
          <w:tab w:val="num" w:pos="5040"/>
        </w:tabs>
        <w:ind w:left="5040" w:hanging="360"/>
      </w:pPr>
      <w:rPr>
        <w:rFonts w:ascii="Symbol" w:hAnsi="Symbol" w:hint="default"/>
      </w:rPr>
    </w:lvl>
    <w:lvl w:ilvl="7" w:tplc="89AAA920" w:tentative="1">
      <w:start w:val="1"/>
      <w:numFmt w:val="bullet"/>
      <w:lvlText w:val="o"/>
      <w:lvlJc w:val="left"/>
      <w:pPr>
        <w:tabs>
          <w:tab w:val="num" w:pos="5760"/>
        </w:tabs>
        <w:ind w:left="5760" w:hanging="360"/>
      </w:pPr>
      <w:rPr>
        <w:rFonts w:ascii="Courier New" w:hAnsi="Courier New" w:cs="Courier New" w:hint="default"/>
      </w:rPr>
    </w:lvl>
    <w:lvl w:ilvl="8" w:tplc="A4141BC2" w:tentative="1">
      <w:start w:val="1"/>
      <w:numFmt w:val="bullet"/>
      <w:lvlText w:val=""/>
      <w:lvlJc w:val="left"/>
      <w:pPr>
        <w:tabs>
          <w:tab w:val="num" w:pos="6480"/>
        </w:tabs>
        <w:ind w:left="6480" w:hanging="360"/>
      </w:pPr>
      <w:rPr>
        <w:rFonts w:ascii="Wingdings" w:hAnsi="Wingdings" w:hint="default"/>
      </w:rPr>
    </w:lvl>
  </w:abstractNum>
  <w:abstractNum w:abstractNumId="15">
    <w:nsid w:val="4DC37F6E"/>
    <w:multiLevelType w:val="hybridMultilevel"/>
    <w:tmpl w:val="E57ED9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907502"/>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17">
    <w:nsid w:val="58A74752"/>
    <w:multiLevelType w:val="hybridMultilevel"/>
    <w:tmpl w:val="9E7CA8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8C70895"/>
    <w:multiLevelType w:val="hybridMultilevel"/>
    <w:tmpl w:val="D32258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6407AA1"/>
    <w:multiLevelType w:val="multilevel"/>
    <w:tmpl w:val="DF2415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6ED81160"/>
    <w:multiLevelType w:val="hybridMultilevel"/>
    <w:tmpl w:val="92BCB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93F2A1B"/>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22">
    <w:nsid w:val="7C4A7637"/>
    <w:multiLevelType w:val="hybridMultilevel"/>
    <w:tmpl w:val="DF2415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7C9E7F4F"/>
    <w:multiLevelType w:val="singleLevel"/>
    <w:tmpl w:val="36EA06F6"/>
    <w:lvl w:ilvl="0">
      <w:start w:val="1"/>
      <w:numFmt w:val="bullet"/>
      <w:lvlText w:val=""/>
      <w:lvlJc w:val="left"/>
      <w:pPr>
        <w:tabs>
          <w:tab w:val="num" w:pos="360"/>
        </w:tabs>
        <w:ind w:left="357" w:hanging="357"/>
      </w:pPr>
      <w:rPr>
        <w:rFonts w:ascii="Symbol" w:hAnsi="Symbol" w:hint="default"/>
      </w:rPr>
    </w:lvl>
  </w:abstractNum>
  <w:num w:numId="1">
    <w:abstractNumId w:val="11"/>
  </w:num>
  <w:num w:numId="2">
    <w:abstractNumId w:val="2"/>
  </w:num>
  <w:num w:numId="3">
    <w:abstractNumId w:val="21"/>
  </w:num>
  <w:num w:numId="4">
    <w:abstractNumId w:val="23"/>
  </w:num>
  <w:num w:numId="5">
    <w:abstractNumId w:val="16"/>
  </w:num>
  <w:num w:numId="6">
    <w:abstractNumId w:val="12"/>
  </w:num>
  <w:num w:numId="7">
    <w:abstractNumId w:val="4"/>
  </w:num>
  <w:num w:numId="8">
    <w:abstractNumId w:val="13"/>
  </w:num>
  <w:num w:numId="9">
    <w:abstractNumId w:val="22"/>
  </w:num>
  <w:num w:numId="10">
    <w:abstractNumId w:val="3"/>
  </w:num>
  <w:num w:numId="11">
    <w:abstractNumId w:val="19"/>
  </w:num>
  <w:num w:numId="12">
    <w:abstractNumId w:val="14"/>
  </w:num>
  <w:num w:numId="13">
    <w:abstractNumId w:val="7"/>
  </w:num>
  <w:num w:numId="14">
    <w:abstractNumId w:val="17"/>
  </w:num>
  <w:num w:numId="15">
    <w:abstractNumId w:val="10"/>
  </w:num>
  <w:num w:numId="16">
    <w:abstractNumId w:val="1"/>
  </w:num>
  <w:num w:numId="17">
    <w:abstractNumId w:val="0"/>
  </w:num>
  <w:num w:numId="18">
    <w:abstractNumId w:val="20"/>
  </w:num>
  <w:num w:numId="19">
    <w:abstractNumId w:val="15"/>
  </w:num>
  <w:num w:numId="20">
    <w:abstractNumId w:val="18"/>
  </w:num>
  <w:num w:numId="21">
    <w:abstractNumId w:val="5"/>
  </w:num>
  <w:num w:numId="22">
    <w:abstractNumId w:val="8"/>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0C"/>
    <w:rsid w:val="0001243D"/>
    <w:rsid w:val="00042CFE"/>
    <w:rsid w:val="00046996"/>
    <w:rsid w:val="000603B8"/>
    <w:rsid w:val="00076400"/>
    <w:rsid w:val="000A6178"/>
    <w:rsid w:val="000B17ED"/>
    <w:rsid w:val="000C48E4"/>
    <w:rsid w:val="000E3CA9"/>
    <w:rsid w:val="000F00B0"/>
    <w:rsid w:val="0010269C"/>
    <w:rsid w:val="001143DE"/>
    <w:rsid w:val="00130AB2"/>
    <w:rsid w:val="001378C5"/>
    <w:rsid w:val="0014293C"/>
    <w:rsid w:val="0015562D"/>
    <w:rsid w:val="00164262"/>
    <w:rsid w:val="00164880"/>
    <w:rsid w:val="00165FA6"/>
    <w:rsid w:val="001726DA"/>
    <w:rsid w:val="001776C8"/>
    <w:rsid w:val="00196D05"/>
    <w:rsid w:val="001A44FA"/>
    <w:rsid w:val="001A54B9"/>
    <w:rsid w:val="001B2B91"/>
    <w:rsid w:val="001B458E"/>
    <w:rsid w:val="001E5F5A"/>
    <w:rsid w:val="001F367D"/>
    <w:rsid w:val="001F6793"/>
    <w:rsid w:val="00216529"/>
    <w:rsid w:val="002244CC"/>
    <w:rsid w:val="00256445"/>
    <w:rsid w:val="0025693C"/>
    <w:rsid w:val="00277661"/>
    <w:rsid w:val="002E0A2F"/>
    <w:rsid w:val="002F764A"/>
    <w:rsid w:val="003026DD"/>
    <w:rsid w:val="00305942"/>
    <w:rsid w:val="0031759B"/>
    <w:rsid w:val="0032062E"/>
    <w:rsid w:val="0032150C"/>
    <w:rsid w:val="00335DEC"/>
    <w:rsid w:val="00373546"/>
    <w:rsid w:val="00374767"/>
    <w:rsid w:val="0038032D"/>
    <w:rsid w:val="0038258D"/>
    <w:rsid w:val="00392109"/>
    <w:rsid w:val="003A6091"/>
    <w:rsid w:val="003B05D2"/>
    <w:rsid w:val="003B1481"/>
    <w:rsid w:val="003B21CD"/>
    <w:rsid w:val="003C2AA9"/>
    <w:rsid w:val="003C3FE4"/>
    <w:rsid w:val="003D02A6"/>
    <w:rsid w:val="003F1204"/>
    <w:rsid w:val="003F4FA5"/>
    <w:rsid w:val="00430BC3"/>
    <w:rsid w:val="0045354C"/>
    <w:rsid w:val="004636CB"/>
    <w:rsid w:val="0046728B"/>
    <w:rsid w:val="00480949"/>
    <w:rsid w:val="00490E06"/>
    <w:rsid w:val="004D37A2"/>
    <w:rsid w:val="0053015D"/>
    <w:rsid w:val="0053229B"/>
    <w:rsid w:val="00534DA2"/>
    <w:rsid w:val="005527F6"/>
    <w:rsid w:val="0055518F"/>
    <w:rsid w:val="0058748E"/>
    <w:rsid w:val="00594A9A"/>
    <w:rsid w:val="005A61AF"/>
    <w:rsid w:val="005F637D"/>
    <w:rsid w:val="006126DC"/>
    <w:rsid w:val="00623FC5"/>
    <w:rsid w:val="00636885"/>
    <w:rsid w:val="00636BAC"/>
    <w:rsid w:val="00640446"/>
    <w:rsid w:val="00655864"/>
    <w:rsid w:val="0068732A"/>
    <w:rsid w:val="00691633"/>
    <w:rsid w:val="00695FAF"/>
    <w:rsid w:val="006B1787"/>
    <w:rsid w:val="006D73EF"/>
    <w:rsid w:val="006E52FA"/>
    <w:rsid w:val="006F3AF6"/>
    <w:rsid w:val="0074278A"/>
    <w:rsid w:val="00742F28"/>
    <w:rsid w:val="00772EA1"/>
    <w:rsid w:val="007A0708"/>
    <w:rsid w:val="007B00BE"/>
    <w:rsid w:val="007B2C6E"/>
    <w:rsid w:val="007D7881"/>
    <w:rsid w:val="007E0724"/>
    <w:rsid w:val="008177D1"/>
    <w:rsid w:val="008309B0"/>
    <w:rsid w:val="00831ACE"/>
    <w:rsid w:val="00851A2D"/>
    <w:rsid w:val="00860E64"/>
    <w:rsid w:val="00873488"/>
    <w:rsid w:val="0087770F"/>
    <w:rsid w:val="00883F08"/>
    <w:rsid w:val="008A0E59"/>
    <w:rsid w:val="008B41D8"/>
    <w:rsid w:val="008B4D34"/>
    <w:rsid w:val="008C5AEC"/>
    <w:rsid w:val="008C5E12"/>
    <w:rsid w:val="008E6A27"/>
    <w:rsid w:val="008F3ABA"/>
    <w:rsid w:val="008F4A3C"/>
    <w:rsid w:val="0092759D"/>
    <w:rsid w:val="0093597A"/>
    <w:rsid w:val="009520D9"/>
    <w:rsid w:val="00967A23"/>
    <w:rsid w:val="009739C5"/>
    <w:rsid w:val="00977AB2"/>
    <w:rsid w:val="00981EE9"/>
    <w:rsid w:val="009851D6"/>
    <w:rsid w:val="0099151C"/>
    <w:rsid w:val="009B459A"/>
    <w:rsid w:val="009E5792"/>
    <w:rsid w:val="00A07140"/>
    <w:rsid w:val="00A2097A"/>
    <w:rsid w:val="00A24B98"/>
    <w:rsid w:val="00A33E4F"/>
    <w:rsid w:val="00A44E80"/>
    <w:rsid w:val="00A60DBA"/>
    <w:rsid w:val="00A734E0"/>
    <w:rsid w:val="00A74B44"/>
    <w:rsid w:val="00A7787F"/>
    <w:rsid w:val="00A822AC"/>
    <w:rsid w:val="00A90A70"/>
    <w:rsid w:val="00AF0786"/>
    <w:rsid w:val="00B309EB"/>
    <w:rsid w:val="00B51628"/>
    <w:rsid w:val="00B61AA0"/>
    <w:rsid w:val="00B63EB8"/>
    <w:rsid w:val="00B650D1"/>
    <w:rsid w:val="00B755DD"/>
    <w:rsid w:val="00B7696F"/>
    <w:rsid w:val="00B77466"/>
    <w:rsid w:val="00B84D6E"/>
    <w:rsid w:val="00B924AD"/>
    <w:rsid w:val="00BB13A2"/>
    <w:rsid w:val="00BD4E4D"/>
    <w:rsid w:val="00BF29A8"/>
    <w:rsid w:val="00C21D6F"/>
    <w:rsid w:val="00C54BEE"/>
    <w:rsid w:val="00C6246B"/>
    <w:rsid w:val="00C85DD2"/>
    <w:rsid w:val="00C90309"/>
    <w:rsid w:val="00C92880"/>
    <w:rsid w:val="00C96667"/>
    <w:rsid w:val="00CA506A"/>
    <w:rsid w:val="00CD6B93"/>
    <w:rsid w:val="00CE37E0"/>
    <w:rsid w:val="00CF2497"/>
    <w:rsid w:val="00D1168B"/>
    <w:rsid w:val="00D140CD"/>
    <w:rsid w:val="00D168D7"/>
    <w:rsid w:val="00D239B6"/>
    <w:rsid w:val="00D3061A"/>
    <w:rsid w:val="00D419AB"/>
    <w:rsid w:val="00D47A85"/>
    <w:rsid w:val="00D70B78"/>
    <w:rsid w:val="00D8351C"/>
    <w:rsid w:val="00DD5278"/>
    <w:rsid w:val="00DF0F3A"/>
    <w:rsid w:val="00E028CD"/>
    <w:rsid w:val="00E0399E"/>
    <w:rsid w:val="00E2128C"/>
    <w:rsid w:val="00E41EB3"/>
    <w:rsid w:val="00E427A2"/>
    <w:rsid w:val="00E42DD4"/>
    <w:rsid w:val="00E42F11"/>
    <w:rsid w:val="00E44BEC"/>
    <w:rsid w:val="00E504CB"/>
    <w:rsid w:val="00E51F12"/>
    <w:rsid w:val="00E654E8"/>
    <w:rsid w:val="00E67451"/>
    <w:rsid w:val="00E70130"/>
    <w:rsid w:val="00E82808"/>
    <w:rsid w:val="00E833B3"/>
    <w:rsid w:val="00EC370B"/>
    <w:rsid w:val="00EC6705"/>
    <w:rsid w:val="00EE21AA"/>
    <w:rsid w:val="00F2770C"/>
    <w:rsid w:val="00F44A92"/>
    <w:rsid w:val="00F50340"/>
    <w:rsid w:val="00F66F50"/>
    <w:rsid w:val="00F8261A"/>
    <w:rsid w:val="00F86D2B"/>
    <w:rsid w:val="00FA28BD"/>
    <w:rsid w:val="00FB096B"/>
    <w:rsid w:val="00FC56BD"/>
    <w:rsid w:val="00FD22A1"/>
    <w:rsid w:val="00FE0808"/>
    <w:rsid w:val="00FF1518"/>
    <w:rsid w:val="00FF3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pBdr>
        <w:top w:val="single" w:sz="4" w:space="8" w:color="auto"/>
        <w:left w:val="single" w:sz="4" w:space="0" w:color="auto"/>
        <w:bottom w:val="single" w:sz="4" w:space="6" w:color="auto"/>
        <w:right w:val="single" w:sz="4" w:space="1" w:color="auto"/>
        <w:between w:val="single" w:sz="4" w:space="1" w:color="auto"/>
      </w:pBdr>
      <w:spacing w:before="120" w:after="120"/>
      <w:outlineLvl w:val="0"/>
    </w:pPr>
    <w:rPr>
      <w:rFonts w:ascii="Arial" w:hAnsi="Arial"/>
      <w:b/>
      <w:sz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
    <w:name w:val="Body Text"/>
    <w:basedOn w:val="Standaard"/>
    <w:link w:val="PlattetekstChar"/>
    <w:rPr>
      <w:rFonts w:ascii="Arial" w:hAnsi="Arial"/>
      <w:sz w:val="22"/>
    </w:rPr>
  </w:style>
  <w:style w:type="paragraph" w:styleId="Ballontekst">
    <w:name w:val="Balloon Text"/>
    <w:basedOn w:val="Standaard"/>
    <w:semiHidden/>
    <w:rsid w:val="0014293C"/>
    <w:rPr>
      <w:rFonts w:ascii="Tahoma" w:hAnsi="Tahoma" w:cs="Tahoma"/>
      <w:sz w:val="16"/>
      <w:szCs w:val="16"/>
    </w:rPr>
  </w:style>
  <w:style w:type="table" w:styleId="Tabelraster">
    <w:name w:val="Table Grid"/>
    <w:basedOn w:val="Standaardtabel"/>
    <w:uiPriority w:val="59"/>
    <w:rsid w:val="00D168D7"/>
    <w:pPr>
      <w:jc w:val="center"/>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C48E4"/>
    <w:pPr>
      <w:autoSpaceDE w:val="0"/>
      <w:autoSpaceDN w:val="0"/>
      <w:adjustRightInd w:val="0"/>
    </w:pPr>
    <w:rPr>
      <w:rFonts w:ascii="Segoe UI" w:hAnsi="Segoe UI" w:cs="Segoe UI"/>
      <w:color w:val="000000"/>
      <w:sz w:val="24"/>
      <w:szCs w:val="24"/>
    </w:rPr>
  </w:style>
  <w:style w:type="character" w:customStyle="1" w:styleId="PlattetekstChar">
    <w:name w:val="Platte tekst Char"/>
    <w:link w:val="Plattetekst"/>
    <w:rsid w:val="001A44FA"/>
    <w:rPr>
      <w:rFonts w:ascii="Arial" w:hAnsi="Arial"/>
      <w:sz w:val="22"/>
    </w:rPr>
  </w:style>
  <w:style w:type="paragraph" w:styleId="Voetnoottekst">
    <w:name w:val="footnote text"/>
    <w:basedOn w:val="Standaard"/>
    <w:link w:val="VoetnoottekstChar"/>
    <w:rsid w:val="003B21CD"/>
  </w:style>
  <w:style w:type="character" w:customStyle="1" w:styleId="VoetnoottekstChar">
    <w:name w:val="Voetnoottekst Char"/>
    <w:basedOn w:val="Standaardalinea-lettertype"/>
    <w:link w:val="Voetnoottekst"/>
    <w:rsid w:val="003B21CD"/>
  </w:style>
  <w:style w:type="character" w:styleId="Voetnootmarkering">
    <w:name w:val="footnote reference"/>
    <w:rsid w:val="003B21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pBdr>
        <w:top w:val="single" w:sz="4" w:space="8" w:color="auto"/>
        <w:left w:val="single" w:sz="4" w:space="0" w:color="auto"/>
        <w:bottom w:val="single" w:sz="4" w:space="6" w:color="auto"/>
        <w:right w:val="single" w:sz="4" w:space="1" w:color="auto"/>
        <w:between w:val="single" w:sz="4" w:space="1" w:color="auto"/>
      </w:pBdr>
      <w:spacing w:before="120" w:after="120"/>
      <w:outlineLvl w:val="0"/>
    </w:pPr>
    <w:rPr>
      <w:rFonts w:ascii="Arial" w:hAnsi="Arial"/>
      <w:b/>
      <w:sz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
    <w:name w:val="Body Text"/>
    <w:basedOn w:val="Standaard"/>
    <w:link w:val="PlattetekstChar"/>
    <w:rPr>
      <w:rFonts w:ascii="Arial" w:hAnsi="Arial"/>
      <w:sz w:val="22"/>
    </w:rPr>
  </w:style>
  <w:style w:type="paragraph" w:styleId="Ballontekst">
    <w:name w:val="Balloon Text"/>
    <w:basedOn w:val="Standaard"/>
    <w:semiHidden/>
    <w:rsid w:val="0014293C"/>
    <w:rPr>
      <w:rFonts w:ascii="Tahoma" w:hAnsi="Tahoma" w:cs="Tahoma"/>
      <w:sz w:val="16"/>
      <w:szCs w:val="16"/>
    </w:rPr>
  </w:style>
  <w:style w:type="table" w:styleId="Tabelraster">
    <w:name w:val="Table Grid"/>
    <w:basedOn w:val="Standaardtabel"/>
    <w:uiPriority w:val="59"/>
    <w:rsid w:val="00D168D7"/>
    <w:pPr>
      <w:jc w:val="center"/>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C48E4"/>
    <w:pPr>
      <w:autoSpaceDE w:val="0"/>
      <w:autoSpaceDN w:val="0"/>
      <w:adjustRightInd w:val="0"/>
    </w:pPr>
    <w:rPr>
      <w:rFonts w:ascii="Segoe UI" w:hAnsi="Segoe UI" w:cs="Segoe UI"/>
      <w:color w:val="000000"/>
      <w:sz w:val="24"/>
      <w:szCs w:val="24"/>
    </w:rPr>
  </w:style>
  <w:style w:type="character" w:customStyle="1" w:styleId="PlattetekstChar">
    <w:name w:val="Platte tekst Char"/>
    <w:link w:val="Plattetekst"/>
    <w:rsid w:val="001A44FA"/>
    <w:rPr>
      <w:rFonts w:ascii="Arial" w:hAnsi="Arial"/>
      <w:sz w:val="22"/>
    </w:rPr>
  </w:style>
  <w:style w:type="paragraph" w:styleId="Voetnoottekst">
    <w:name w:val="footnote text"/>
    <w:basedOn w:val="Standaard"/>
    <w:link w:val="VoetnoottekstChar"/>
    <w:rsid w:val="003B21CD"/>
  </w:style>
  <w:style w:type="character" w:customStyle="1" w:styleId="VoetnoottekstChar">
    <w:name w:val="Voetnoottekst Char"/>
    <w:basedOn w:val="Standaardalinea-lettertype"/>
    <w:link w:val="Voetnoottekst"/>
    <w:rsid w:val="003B21CD"/>
  </w:style>
  <w:style w:type="character" w:styleId="Voetnootmarkering">
    <w:name w:val="footnote reference"/>
    <w:rsid w:val="003B2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B35EF-6260-404F-B1AF-6336A595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4724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lpstr>
    </vt:vector>
  </TitlesOfParts>
  <Company>Antoon van Bommel</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 van Bommel</dc:creator>
  <cp:lastModifiedBy>Antoon van Bommel</cp:lastModifiedBy>
  <cp:revision>2</cp:revision>
  <cp:lastPrinted>2019-09-02T15:45:00Z</cp:lastPrinted>
  <dcterms:created xsi:type="dcterms:W3CDTF">2021-01-12T11:11:00Z</dcterms:created>
  <dcterms:modified xsi:type="dcterms:W3CDTF">2021-01-12T11:11:00Z</dcterms:modified>
</cp:coreProperties>
</file>